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8B52C" w14:textId="277E0FF2" w:rsidR="00DF6FF6" w:rsidRDefault="00F23829" w:rsidP="006B198C">
      <w:pPr>
        <w:rPr>
          <w:sz w:val="20"/>
          <w:lang w:val="en-GB"/>
        </w:rPr>
      </w:pPr>
      <w:r>
        <w:rPr>
          <w:noProof/>
        </w:rPr>
        <w:drawing>
          <wp:anchor distT="0" distB="0" distL="114300" distR="114300" simplePos="0" relativeHeight="251659264" behindDoc="0" locked="0" layoutInCell="1" allowOverlap="1" wp14:anchorId="41BADD54" wp14:editId="4D17DCCA">
            <wp:simplePos x="0" y="0"/>
            <wp:positionH relativeFrom="margin">
              <wp:posOffset>4983480</wp:posOffset>
            </wp:positionH>
            <wp:positionV relativeFrom="paragraph">
              <wp:posOffset>118110</wp:posOffset>
            </wp:positionV>
            <wp:extent cx="1606550" cy="979805"/>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6550" cy="979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198C">
        <w:rPr>
          <w:rFonts w:ascii="Calibri" w:hAnsi="Calibri" w:cs="Calibri"/>
          <w:noProof/>
          <w:snapToGrid/>
        </w:rPr>
        <w:drawing>
          <wp:inline distT="0" distB="0" distL="0" distR="0" wp14:anchorId="5305CC8F" wp14:editId="4B172DEE">
            <wp:extent cx="1463040" cy="1256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3040" cy="1256030"/>
                    </a:xfrm>
                    <a:prstGeom prst="rect">
                      <a:avLst/>
                    </a:prstGeom>
                    <a:noFill/>
                    <a:ln>
                      <a:noFill/>
                    </a:ln>
                  </pic:spPr>
                </pic:pic>
              </a:graphicData>
            </a:graphic>
          </wp:inline>
        </w:drawing>
      </w:r>
      <w:r w:rsidR="006B198C">
        <w:rPr>
          <w:rFonts w:ascii="Calibri" w:hAnsi="Calibri" w:cs="Calibri"/>
          <w:noProof/>
          <w:snapToGrid/>
        </w:rPr>
        <w:t xml:space="preserve">                                 </w:t>
      </w:r>
    </w:p>
    <w:p w14:paraId="20906361" w14:textId="77777777" w:rsidR="00DF6FF6" w:rsidRDefault="00DF6FF6">
      <w:pPr>
        <w:jc w:val="center"/>
        <w:rPr>
          <w:sz w:val="20"/>
          <w:lang w:val="en-GB"/>
        </w:rPr>
      </w:pPr>
    </w:p>
    <w:p w14:paraId="01BE87E4" w14:textId="507B2D94" w:rsidR="006F5FD0" w:rsidRPr="00571687" w:rsidRDefault="00C03806">
      <w:pPr>
        <w:jc w:val="center"/>
        <w:rPr>
          <w:rStyle w:val="Strong"/>
          <w:sz w:val="28"/>
          <w:szCs w:val="28"/>
          <w:lang w:val="en-GB"/>
        </w:rPr>
      </w:pPr>
      <w:r>
        <w:rPr>
          <w:b/>
          <w:sz w:val="28"/>
          <w:szCs w:val="28"/>
          <w:lang w:val="en-GB"/>
        </w:rPr>
        <w:t xml:space="preserve">CONTRACT </w:t>
      </w:r>
      <w:r w:rsidR="006F5FD0" w:rsidRPr="00571687">
        <w:rPr>
          <w:b/>
          <w:sz w:val="28"/>
          <w:szCs w:val="28"/>
          <w:lang w:val="en-GB"/>
        </w:rPr>
        <w:t>NOTICE</w:t>
      </w:r>
    </w:p>
    <w:p w14:paraId="16C724C2" w14:textId="6C023E65" w:rsidR="00F3539A" w:rsidRDefault="00DB35A9" w:rsidP="007C201A">
      <w:pPr>
        <w:spacing w:beforeAutospacing="1" w:afterAutospacing="1"/>
        <w:rPr>
          <w:rStyle w:val="Strong"/>
          <w:sz w:val="22"/>
          <w:szCs w:val="22"/>
          <w:u w:val="single"/>
          <w:lang w:val="en-GB"/>
        </w:rPr>
      </w:pPr>
      <w:r w:rsidRPr="00CB244C">
        <w:rPr>
          <w:b/>
          <w:sz w:val="22"/>
          <w:szCs w:val="22"/>
          <w:u w:val="single"/>
        </w:rPr>
        <w:t>CALL FOR TENDER</w:t>
      </w:r>
      <w:r w:rsidR="00297B55" w:rsidRPr="00CB244C">
        <w:rPr>
          <w:b/>
          <w:sz w:val="22"/>
          <w:szCs w:val="22"/>
          <w:u w:val="single"/>
        </w:rPr>
        <w:t>: GENERAL INFORMATION</w:t>
      </w:r>
      <w:r w:rsidR="007C201A">
        <w:rPr>
          <w:b/>
          <w:sz w:val="22"/>
          <w:szCs w:val="22"/>
          <w:u w:val="single"/>
        </w:rPr>
        <w:br/>
      </w:r>
      <w:r w:rsidR="007C201A">
        <w:rPr>
          <w:sz w:val="22"/>
          <w:szCs w:val="22"/>
          <w:u w:val="single"/>
        </w:rPr>
        <w:br/>
      </w:r>
    </w:p>
    <w:p w14:paraId="5B463A74" w14:textId="173992F3" w:rsidR="00EF74CF" w:rsidRPr="002A484E" w:rsidRDefault="00EF74CF" w:rsidP="00EF74CF">
      <w:pPr>
        <w:outlineLvl w:val="0"/>
        <w:rPr>
          <w:rStyle w:val="Strong"/>
          <w:sz w:val="22"/>
          <w:szCs w:val="22"/>
          <w:u w:val="single"/>
          <w:lang w:val="en-GB"/>
        </w:rPr>
      </w:pPr>
      <w:r w:rsidRPr="002A484E">
        <w:rPr>
          <w:rStyle w:val="Strong"/>
          <w:sz w:val="22"/>
          <w:szCs w:val="22"/>
          <w:u w:val="single"/>
          <w:lang w:val="en-GB"/>
        </w:rPr>
        <w:t>I.1) Name and address Contracting Authority</w:t>
      </w:r>
    </w:p>
    <w:p w14:paraId="211EB328" w14:textId="5F2EA810" w:rsidR="00CF366A" w:rsidRDefault="00EF74CF" w:rsidP="00EF74CF">
      <w:pPr>
        <w:outlineLvl w:val="0"/>
        <w:rPr>
          <w:rStyle w:val="Strong"/>
          <w:b w:val="0"/>
          <w:sz w:val="22"/>
          <w:szCs w:val="22"/>
          <w:lang w:val="en-GB"/>
        </w:rPr>
      </w:pPr>
      <w:r w:rsidRPr="002A484E">
        <w:rPr>
          <w:rStyle w:val="Strong"/>
          <w:b w:val="0"/>
          <w:sz w:val="22"/>
          <w:szCs w:val="22"/>
          <w:lang w:val="en-GB"/>
        </w:rPr>
        <w:t xml:space="preserve">Official name: </w:t>
      </w:r>
      <w:bookmarkStart w:id="0" w:name="_Hlk89952153"/>
      <w:r w:rsidR="006B198C" w:rsidRPr="002A484E">
        <w:rPr>
          <w:rStyle w:val="Strong"/>
          <w:b w:val="0"/>
          <w:sz w:val="22"/>
          <w:szCs w:val="22"/>
          <w:lang w:val="en-GB"/>
        </w:rPr>
        <w:t>IGAD Climate Prediction and Applications Centre</w:t>
      </w:r>
      <w:r w:rsidR="002A484E" w:rsidRPr="002A484E">
        <w:rPr>
          <w:rStyle w:val="Strong"/>
          <w:b w:val="0"/>
          <w:sz w:val="22"/>
          <w:szCs w:val="22"/>
          <w:lang w:val="en-GB"/>
        </w:rPr>
        <w:t xml:space="preserve"> (ICPAC)</w:t>
      </w:r>
      <w:r w:rsidRPr="002A484E">
        <w:rPr>
          <w:rStyle w:val="Strong"/>
          <w:b w:val="0"/>
          <w:sz w:val="22"/>
          <w:szCs w:val="22"/>
          <w:lang w:val="en-GB"/>
        </w:rPr>
        <w:br/>
      </w:r>
      <w:bookmarkEnd w:id="0"/>
      <w:r w:rsidRPr="002A484E">
        <w:rPr>
          <w:rStyle w:val="Strong"/>
          <w:b w:val="0"/>
          <w:sz w:val="22"/>
          <w:szCs w:val="22"/>
          <w:lang w:val="en-GB"/>
        </w:rPr>
        <w:t xml:space="preserve">Postal address: </w:t>
      </w:r>
      <w:r w:rsidR="006B198C" w:rsidRPr="002A484E">
        <w:rPr>
          <w:rStyle w:val="Strong"/>
          <w:b w:val="0"/>
          <w:sz w:val="22"/>
          <w:szCs w:val="22"/>
          <w:lang w:val="en-GB"/>
        </w:rPr>
        <w:t xml:space="preserve"> </w:t>
      </w:r>
      <w:r w:rsidR="006B198C" w:rsidRPr="002A484E">
        <w:rPr>
          <w:rFonts w:ascii="Arial" w:hAnsi="Arial" w:cs="Arial"/>
          <w:color w:val="000000"/>
          <w:sz w:val="20"/>
          <w:bdr w:val="none" w:sz="0" w:space="0" w:color="auto" w:frame="1"/>
          <w:shd w:val="clear" w:color="auto" w:fill="FFFFFF"/>
        </w:rPr>
        <w:t>P.</w:t>
      </w:r>
      <w:proofErr w:type="gramStart"/>
      <w:r w:rsidR="006B198C" w:rsidRPr="002A484E">
        <w:rPr>
          <w:rFonts w:ascii="Arial" w:hAnsi="Arial" w:cs="Arial"/>
          <w:color w:val="000000"/>
          <w:sz w:val="20"/>
          <w:bdr w:val="none" w:sz="0" w:space="0" w:color="auto" w:frame="1"/>
          <w:shd w:val="clear" w:color="auto" w:fill="FFFFFF"/>
        </w:rPr>
        <w:t>O.Box</w:t>
      </w:r>
      <w:proofErr w:type="gramEnd"/>
      <w:r w:rsidR="006B198C" w:rsidRPr="002A484E">
        <w:rPr>
          <w:rFonts w:ascii="Arial" w:hAnsi="Arial" w:cs="Arial"/>
          <w:color w:val="000000"/>
          <w:sz w:val="20"/>
          <w:bdr w:val="none" w:sz="0" w:space="0" w:color="auto" w:frame="1"/>
          <w:shd w:val="clear" w:color="auto" w:fill="FFFFFF"/>
        </w:rPr>
        <w:t xml:space="preserve"> 10304-00100, Nairobi, Kenya</w:t>
      </w:r>
      <w:r w:rsidRPr="002A484E">
        <w:rPr>
          <w:rStyle w:val="Strong"/>
          <w:b w:val="0"/>
          <w:sz w:val="22"/>
          <w:szCs w:val="22"/>
          <w:lang w:val="en-GB"/>
        </w:rPr>
        <w:br/>
        <w:t xml:space="preserve">Town: </w:t>
      </w:r>
      <w:r w:rsidR="006B198C" w:rsidRPr="002A484E">
        <w:rPr>
          <w:rStyle w:val="Strong"/>
          <w:b w:val="0"/>
          <w:sz w:val="22"/>
          <w:szCs w:val="22"/>
          <w:lang w:val="en-GB"/>
        </w:rPr>
        <w:t>Ngong Town</w:t>
      </w:r>
      <w:r w:rsidR="002A484E">
        <w:rPr>
          <w:rStyle w:val="Strong"/>
          <w:b w:val="0"/>
          <w:sz w:val="22"/>
          <w:szCs w:val="22"/>
          <w:lang w:val="en-GB"/>
        </w:rPr>
        <w:t>, Kibiko</w:t>
      </w:r>
      <w:r w:rsidRPr="002A484E">
        <w:rPr>
          <w:rStyle w:val="Strong"/>
          <w:b w:val="0"/>
          <w:sz w:val="22"/>
          <w:szCs w:val="22"/>
          <w:lang w:val="en-GB"/>
        </w:rPr>
        <w:br/>
        <w:t xml:space="preserve">E-mail: </w:t>
      </w:r>
      <w:hyperlink r:id="rId10" w:history="1">
        <w:r w:rsidR="00132F03" w:rsidRPr="00E66B6A">
          <w:rPr>
            <w:rStyle w:val="Hyperlink"/>
            <w:sz w:val="22"/>
            <w:szCs w:val="22"/>
            <w:lang w:val="en-GB"/>
          </w:rPr>
          <w:t>Procurement@icpac.net</w:t>
        </w:r>
      </w:hyperlink>
      <w:r w:rsidR="00132F03">
        <w:rPr>
          <w:rStyle w:val="Strong"/>
          <w:b w:val="0"/>
          <w:sz w:val="22"/>
          <w:szCs w:val="22"/>
          <w:lang w:val="en-GB"/>
        </w:rPr>
        <w:t xml:space="preserve"> </w:t>
      </w:r>
      <w:r w:rsidRPr="00D53856">
        <w:rPr>
          <w:rStyle w:val="Strong"/>
          <w:b w:val="0"/>
          <w:sz w:val="22"/>
          <w:szCs w:val="22"/>
          <w:lang w:val="en-GB"/>
        </w:rPr>
        <w:br/>
      </w:r>
      <w:r w:rsidR="00B513FE">
        <w:rPr>
          <w:rStyle w:val="Strong"/>
          <w:sz w:val="22"/>
          <w:szCs w:val="22"/>
          <w:highlight w:val="lightGray"/>
          <w:u w:val="single"/>
          <w:lang w:val="en-GB"/>
        </w:rPr>
        <w:br/>
      </w:r>
      <w:r w:rsidR="00B513FE" w:rsidRPr="00F23829">
        <w:rPr>
          <w:rStyle w:val="Strong"/>
          <w:sz w:val="22"/>
          <w:szCs w:val="22"/>
          <w:u w:val="single"/>
          <w:lang w:val="en-GB"/>
        </w:rPr>
        <w:t>II.1.1)</w:t>
      </w:r>
      <w:r w:rsidR="007C201A" w:rsidRPr="00F23829">
        <w:rPr>
          <w:rStyle w:val="Strong"/>
          <w:sz w:val="22"/>
          <w:szCs w:val="22"/>
          <w:u w:val="single"/>
          <w:lang w:val="en-GB"/>
        </w:rPr>
        <w:t xml:space="preserve"> </w:t>
      </w:r>
      <w:r w:rsidR="00B513FE" w:rsidRPr="00F23829">
        <w:rPr>
          <w:rStyle w:val="Strong"/>
          <w:sz w:val="22"/>
          <w:szCs w:val="22"/>
          <w:u w:val="single"/>
          <w:lang w:val="en-GB"/>
        </w:rPr>
        <w:t>Title:</w:t>
      </w:r>
      <w:r w:rsidR="00B513FE" w:rsidRPr="00F23829">
        <w:rPr>
          <w:rStyle w:val="Strong"/>
          <w:b w:val="0"/>
          <w:sz w:val="22"/>
          <w:szCs w:val="22"/>
          <w:lang w:val="en-GB"/>
        </w:rPr>
        <w:t xml:space="preserve"> </w:t>
      </w:r>
      <w:r w:rsidR="007C201A">
        <w:rPr>
          <w:rStyle w:val="Strong"/>
          <w:b w:val="0"/>
          <w:sz w:val="22"/>
          <w:szCs w:val="22"/>
          <w:highlight w:val="lightGray"/>
          <w:lang w:val="en-GB"/>
        </w:rPr>
        <w:br/>
      </w:r>
      <w:r w:rsidR="007C201A">
        <w:rPr>
          <w:rStyle w:val="Strong"/>
          <w:b w:val="0"/>
          <w:sz w:val="22"/>
          <w:szCs w:val="22"/>
          <w:highlight w:val="lightGray"/>
          <w:lang w:val="en-GB"/>
        </w:rPr>
        <w:br/>
      </w:r>
      <w:bookmarkStart w:id="1" w:name="_Hlk89951197"/>
      <w:r w:rsidR="006B198C">
        <w:rPr>
          <w:rStyle w:val="Strong"/>
          <w:b w:val="0"/>
          <w:sz w:val="22"/>
          <w:szCs w:val="22"/>
          <w:lang w:val="en-GB"/>
        </w:rPr>
        <w:t xml:space="preserve">PROCUREMENT OF </w:t>
      </w:r>
      <w:r w:rsidR="0000762C">
        <w:rPr>
          <w:rStyle w:val="Strong"/>
          <w:b w:val="0"/>
          <w:sz w:val="22"/>
          <w:szCs w:val="22"/>
          <w:lang w:val="en-GB"/>
        </w:rPr>
        <w:t>HIGH PERFORMANCE COMPUTING (</w:t>
      </w:r>
      <w:r w:rsidR="00DA4719">
        <w:rPr>
          <w:rStyle w:val="Strong"/>
          <w:b w:val="0"/>
          <w:sz w:val="22"/>
          <w:szCs w:val="22"/>
          <w:lang w:val="en-GB"/>
        </w:rPr>
        <w:t>HPC</w:t>
      </w:r>
      <w:r w:rsidR="0000762C">
        <w:rPr>
          <w:rStyle w:val="Strong"/>
          <w:b w:val="0"/>
          <w:sz w:val="22"/>
          <w:szCs w:val="22"/>
          <w:lang w:val="en-GB"/>
        </w:rPr>
        <w:t>)</w:t>
      </w:r>
      <w:r w:rsidR="00132F03">
        <w:rPr>
          <w:rStyle w:val="Strong"/>
          <w:b w:val="0"/>
          <w:sz w:val="22"/>
          <w:szCs w:val="22"/>
          <w:lang w:val="en-GB"/>
        </w:rPr>
        <w:t xml:space="preserve"> PLATFORM</w:t>
      </w:r>
    </w:p>
    <w:p w14:paraId="57BD9A50" w14:textId="39CFDA86" w:rsidR="00010B32" w:rsidRPr="00AC2433" w:rsidRDefault="00EC4B10" w:rsidP="00010B32">
      <w:pPr>
        <w:outlineLvl w:val="0"/>
        <w:rPr>
          <w:rStyle w:val="Strong"/>
          <w:b w:val="0"/>
          <w:sz w:val="22"/>
          <w:szCs w:val="22"/>
          <w:lang w:val="en-GB"/>
        </w:rPr>
      </w:pPr>
      <w:r>
        <w:rPr>
          <w:rStyle w:val="Strong"/>
          <w:b w:val="0"/>
          <w:sz w:val="22"/>
          <w:szCs w:val="22"/>
          <w:lang w:val="en-GB"/>
        </w:rPr>
        <w:t>ICPAC/</w:t>
      </w:r>
      <w:r w:rsidR="00DA4719">
        <w:rPr>
          <w:rStyle w:val="Strong"/>
          <w:b w:val="0"/>
          <w:sz w:val="22"/>
          <w:szCs w:val="22"/>
          <w:lang w:val="en-GB"/>
        </w:rPr>
        <w:t>INTRA-ACP/IOT/GOODS/02/202</w:t>
      </w:r>
      <w:bookmarkEnd w:id="1"/>
      <w:r w:rsidR="00132F03">
        <w:rPr>
          <w:rStyle w:val="Strong"/>
          <w:b w:val="0"/>
          <w:sz w:val="22"/>
          <w:szCs w:val="22"/>
          <w:lang w:val="en-GB"/>
        </w:rPr>
        <w:t>2</w:t>
      </w:r>
      <w:r w:rsidR="007C201A">
        <w:rPr>
          <w:rStyle w:val="Strong"/>
          <w:b w:val="0"/>
          <w:sz w:val="22"/>
          <w:szCs w:val="22"/>
          <w:lang w:val="en-GB"/>
        </w:rPr>
        <w:br/>
      </w:r>
      <w:r w:rsidR="007C201A">
        <w:rPr>
          <w:rStyle w:val="Strong"/>
          <w:sz w:val="22"/>
          <w:szCs w:val="22"/>
          <w:u w:val="single"/>
          <w:lang w:val="en-GB"/>
        </w:rPr>
        <w:br/>
      </w:r>
      <w:r w:rsidR="00010B32" w:rsidRPr="00D67F00">
        <w:rPr>
          <w:rStyle w:val="Strong"/>
          <w:sz w:val="22"/>
          <w:szCs w:val="22"/>
          <w:u w:val="single"/>
          <w:lang w:val="en-GB"/>
        </w:rPr>
        <w:t>II.1.3) Type of contract</w:t>
      </w:r>
    </w:p>
    <w:p w14:paraId="382700E3" w14:textId="2F572AC0" w:rsidR="00010B32" w:rsidRPr="007B234C" w:rsidRDefault="00DA4719" w:rsidP="007B234C">
      <w:pPr>
        <w:pStyle w:val="Blockquote"/>
        <w:ind w:left="0"/>
        <w:jc w:val="both"/>
        <w:rPr>
          <w:rStyle w:val="Strong"/>
          <w:b w:val="0"/>
          <w:i/>
          <w:sz w:val="22"/>
          <w:szCs w:val="22"/>
          <w:lang w:val="en-GB"/>
        </w:rPr>
      </w:pPr>
      <w:r>
        <w:rPr>
          <w:rStyle w:val="Emphasis"/>
          <w:i w:val="0"/>
          <w:sz w:val="22"/>
          <w:szCs w:val="22"/>
          <w:lang w:val="en-GB"/>
        </w:rPr>
        <w:t>Supplies</w:t>
      </w:r>
    </w:p>
    <w:p w14:paraId="2EF9E8FA" w14:textId="699C6124" w:rsidR="00EF74CF" w:rsidRPr="00D67F00" w:rsidRDefault="00B513FE" w:rsidP="00EF74CF">
      <w:pPr>
        <w:outlineLvl w:val="0"/>
        <w:rPr>
          <w:rStyle w:val="Strong"/>
          <w:sz w:val="22"/>
          <w:szCs w:val="22"/>
          <w:u w:val="single"/>
          <w:lang w:val="en-GB"/>
        </w:rPr>
      </w:pPr>
      <w:r>
        <w:rPr>
          <w:rStyle w:val="Strong"/>
          <w:sz w:val="22"/>
          <w:szCs w:val="22"/>
          <w:highlight w:val="lightGray"/>
          <w:lang w:val="en-GB"/>
        </w:rPr>
        <w:br/>
      </w:r>
      <w:r w:rsidR="00EF74CF" w:rsidRPr="00D67F00">
        <w:rPr>
          <w:rStyle w:val="Strong"/>
          <w:sz w:val="22"/>
          <w:szCs w:val="22"/>
          <w:u w:val="single"/>
          <w:lang w:val="en-GB"/>
        </w:rPr>
        <w:t>II.1.5) Estimated total value</w:t>
      </w:r>
    </w:p>
    <w:p w14:paraId="021791FD" w14:textId="3F5DAEF0" w:rsidR="00DA4719" w:rsidRDefault="00DA4719" w:rsidP="00EF74CF">
      <w:pPr>
        <w:outlineLvl w:val="0"/>
        <w:rPr>
          <w:sz w:val="22"/>
          <w:szCs w:val="22"/>
        </w:rPr>
      </w:pPr>
      <w:r>
        <w:rPr>
          <w:sz w:val="22"/>
          <w:szCs w:val="22"/>
        </w:rPr>
        <w:t>Procurement of HPC</w:t>
      </w:r>
    </w:p>
    <w:p w14:paraId="080D0143" w14:textId="55CA622D" w:rsidR="00DA4719" w:rsidRDefault="00DA4719" w:rsidP="00EF74CF">
      <w:pPr>
        <w:outlineLvl w:val="0"/>
        <w:rPr>
          <w:sz w:val="22"/>
          <w:szCs w:val="22"/>
        </w:rPr>
      </w:pPr>
      <w:r>
        <w:rPr>
          <w:sz w:val="22"/>
          <w:szCs w:val="22"/>
        </w:rPr>
        <w:t>Quantity – One (1)</w:t>
      </w:r>
    </w:p>
    <w:p w14:paraId="446B827B" w14:textId="0464793F" w:rsidR="00EF74CF" w:rsidRDefault="00EF74CF" w:rsidP="00EF74CF">
      <w:pPr>
        <w:outlineLvl w:val="0"/>
        <w:rPr>
          <w:sz w:val="22"/>
          <w:szCs w:val="22"/>
        </w:rPr>
      </w:pPr>
      <w:r w:rsidRPr="00F23829">
        <w:rPr>
          <w:sz w:val="22"/>
          <w:szCs w:val="22"/>
        </w:rPr>
        <w:t>Currency:</w:t>
      </w:r>
      <w:r w:rsidRPr="00262BEC">
        <w:rPr>
          <w:sz w:val="22"/>
          <w:szCs w:val="22"/>
        </w:rPr>
        <w:t xml:space="preserve">  </w:t>
      </w:r>
      <w:r w:rsidR="00DA4719">
        <w:rPr>
          <w:sz w:val="22"/>
          <w:szCs w:val="22"/>
        </w:rPr>
        <w:t>Euro</w:t>
      </w:r>
    </w:p>
    <w:p w14:paraId="44D8DD74" w14:textId="77777777" w:rsidR="00DA4719" w:rsidRDefault="007C201A" w:rsidP="00DB35A9">
      <w:pPr>
        <w:outlineLvl w:val="0"/>
        <w:rPr>
          <w:rStyle w:val="Strong"/>
          <w:sz w:val="22"/>
          <w:szCs w:val="22"/>
          <w:u w:val="single"/>
          <w:lang w:val="en-GB"/>
        </w:rPr>
      </w:pPr>
      <w:r>
        <w:rPr>
          <w:rStyle w:val="Strong"/>
          <w:sz w:val="22"/>
          <w:szCs w:val="22"/>
          <w:u w:val="single"/>
          <w:lang w:val="en-GB"/>
        </w:rPr>
        <w:br/>
      </w:r>
      <w:r w:rsidR="00DB35A9" w:rsidRPr="00375558">
        <w:rPr>
          <w:rStyle w:val="Strong"/>
          <w:sz w:val="22"/>
          <w:szCs w:val="22"/>
          <w:u w:val="single"/>
          <w:lang w:val="en-GB"/>
        </w:rPr>
        <w:t>IV.1</w:t>
      </w:r>
      <w:r w:rsidR="00DB35A9">
        <w:rPr>
          <w:rStyle w:val="Strong"/>
          <w:sz w:val="22"/>
          <w:szCs w:val="22"/>
          <w:u w:val="single"/>
          <w:lang w:val="en-GB"/>
        </w:rPr>
        <w:t>.1.</w:t>
      </w:r>
      <w:r w:rsidR="00DB35A9" w:rsidRPr="00375558">
        <w:rPr>
          <w:rStyle w:val="Strong"/>
          <w:sz w:val="22"/>
          <w:szCs w:val="22"/>
          <w:u w:val="single"/>
          <w:lang w:val="en-GB"/>
        </w:rPr>
        <w:t xml:space="preserve">) </w:t>
      </w:r>
      <w:r w:rsidR="00DB35A9">
        <w:rPr>
          <w:rStyle w:val="Strong"/>
          <w:sz w:val="22"/>
          <w:szCs w:val="22"/>
          <w:u w:val="single"/>
          <w:lang w:val="en-GB"/>
        </w:rPr>
        <w:t xml:space="preserve">Type of </w:t>
      </w:r>
      <w:r w:rsidR="00DB35A9" w:rsidRPr="00375558">
        <w:rPr>
          <w:rStyle w:val="Strong"/>
          <w:sz w:val="22"/>
          <w:szCs w:val="22"/>
          <w:u w:val="single"/>
          <w:lang w:val="en-GB"/>
        </w:rPr>
        <w:t>Procedure</w:t>
      </w:r>
    </w:p>
    <w:p w14:paraId="7A3DC070" w14:textId="0688549B" w:rsidR="00DB35A9" w:rsidRPr="00DA4719" w:rsidRDefault="00DA4719" w:rsidP="00DB35A9">
      <w:pPr>
        <w:outlineLvl w:val="0"/>
        <w:rPr>
          <w:rStyle w:val="Strong"/>
          <w:sz w:val="22"/>
          <w:szCs w:val="22"/>
          <w:lang w:val="en-GB"/>
        </w:rPr>
      </w:pPr>
      <w:r w:rsidRPr="00DA4719">
        <w:rPr>
          <w:rStyle w:val="Strong"/>
          <w:sz w:val="22"/>
          <w:szCs w:val="22"/>
          <w:lang w:val="en-GB"/>
        </w:rPr>
        <w:t>International Open Tender</w:t>
      </w:r>
      <w:r w:rsidR="00DB35A9" w:rsidRPr="00DA4719">
        <w:rPr>
          <w:rStyle w:val="Strong"/>
          <w:b w:val="0"/>
          <w:sz w:val="22"/>
          <w:szCs w:val="22"/>
          <w:lang w:val="en-GB"/>
        </w:rPr>
        <w:br/>
      </w:r>
    </w:p>
    <w:p w14:paraId="2FB0BEEE" w14:textId="6AA21070" w:rsidR="00EF74CF" w:rsidRPr="007C201A" w:rsidRDefault="00B513FE" w:rsidP="00EF74CF">
      <w:pPr>
        <w:outlineLvl w:val="0"/>
        <w:rPr>
          <w:rStyle w:val="Strong"/>
          <w:sz w:val="22"/>
          <w:szCs w:val="22"/>
          <w:highlight w:val="lightGray"/>
          <w:u w:val="single"/>
          <w:lang w:val="en-GB"/>
        </w:rPr>
      </w:pPr>
      <w:r>
        <w:rPr>
          <w:rStyle w:val="Strong"/>
          <w:sz w:val="22"/>
          <w:szCs w:val="22"/>
          <w:highlight w:val="lightGray"/>
          <w:lang w:val="en-GB"/>
        </w:rPr>
        <w:br/>
      </w:r>
      <w:r w:rsidR="00EF74CF" w:rsidRPr="007C201A">
        <w:rPr>
          <w:rStyle w:val="Strong"/>
          <w:sz w:val="22"/>
          <w:szCs w:val="22"/>
          <w:u w:val="single"/>
          <w:lang w:val="en-GB"/>
        </w:rPr>
        <w:t>II.1.6) Information about lots</w:t>
      </w:r>
    </w:p>
    <w:p w14:paraId="7FCEB8DB" w14:textId="77777777" w:rsidR="00F23829" w:rsidRDefault="00EF74CF" w:rsidP="007B234C">
      <w:pPr>
        <w:outlineLvl w:val="0"/>
        <w:rPr>
          <w:rStyle w:val="Strong"/>
          <w:b w:val="0"/>
          <w:sz w:val="22"/>
          <w:szCs w:val="22"/>
          <w:lang w:val="en-GB"/>
        </w:rPr>
      </w:pPr>
      <w:r w:rsidRPr="007C201A">
        <w:rPr>
          <w:rStyle w:val="Strong"/>
          <w:b w:val="0"/>
          <w:sz w:val="22"/>
          <w:szCs w:val="22"/>
          <w:lang w:val="en-GB"/>
        </w:rPr>
        <w:t>This contract is divided into lot</w:t>
      </w:r>
      <w:r w:rsidRPr="00F23829">
        <w:rPr>
          <w:rStyle w:val="Strong"/>
          <w:b w:val="0"/>
          <w:sz w:val="22"/>
          <w:szCs w:val="22"/>
          <w:lang w:val="en-GB"/>
        </w:rPr>
        <w:t>s:</w:t>
      </w:r>
      <w:r w:rsidRPr="00F23829">
        <w:rPr>
          <w:rStyle w:val="Strong"/>
          <w:sz w:val="22"/>
          <w:szCs w:val="22"/>
          <w:lang w:val="en-GB"/>
        </w:rPr>
        <w:t xml:space="preserve"> </w:t>
      </w:r>
      <w:r w:rsidR="00DA4719" w:rsidRPr="00F23829">
        <w:rPr>
          <w:rStyle w:val="Strong"/>
          <w:b w:val="0"/>
          <w:sz w:val="22"/>
          <w:szCs w:val="22"/>
          <w:lang w:val="en-GB"/>
        </w:rPr>
        <w:t>No</w:t>
      </w:r>
    </w:p>
    <w:p w14:paraId="0926AA8B" w14:textId="77777777" w:rsidR="00AC2433" w:rsidRDefault="00AC2433" w:rsidP="007B234C">
      <w:pPr>
        <w:outlineLvl w:val="0"/>
        <w:rPr>
          <w:rStyle w:val="Strong"/>
          <w:sz w:val="22"/>
          <w:szCs w:val="22"/>
        </w:rPr>
      </w:pPr>
    </w:p>
    <w:p w14:paraId="3F22C197" w14:textId="4DA68AC6" w:rsidR="00DB35A9" w:rsidRPr="00DA4719" w:rsidRDefault="00EF74CF" w:rsidP="007B234C">
      <w:pPr>
        <w:outlineLvl w:val="0"/>
        <w:rPr>
          <w:sz w:val="22"/>
          <w:szCs w:val="22"/>
          <w:lang w:val="en-GB"/>
        </w:rPr>
      </w:pPr>
      <w:r>
        <w:rPr>
          <w:rStyle w:val="Strong"/>
          <w:sz w:val="22"/>
          <w:szCs w:val="22"/>
        </w:rPr>
        <w:br/>
      </w:r>
      <w:r w:rsidR="00045773">
        <w:rPr>
          <w:rStyle w:val="Strong"/>
          <w:sz w:val="22"/>
          <w:szCs w:val="22"/>
          <w:u w:val="single"/>
        </w:rPr>
        <w:lastRenderedPageBreak/>
        <w:br/>
      </w:r>
      <w:r w:rsidR="00297B55" w:rsidRPr="00D67F00">
        <w:rPr>
          <w:rStyle w:val="Strong"/>
          <w:sz w:val="22"/>
          <w:szCs w:val="22"/>
          <w:u w:val="single"/>
        </w:rPr>
        <w:t>CALL FOR TENDER: INFORMATION PER LOT</w:t>
      </w:r>
    </w:p>
    <w:p w14:paraId="2EA260A7" w14:textId="2662C06F" w:rsidR="00F23829" w:rsidRDefault="00EF74CF" w:rsidP="00EF74CF">
      <w:pPr>
        <w:outlineLvl w:val="0"/>
        <w:rPr>
          <w:rStyle w:val="Strong"/>
          <w:b w:val="0"/>
          <w:sz w:val="22"/>
          <w:szCs w:val="22"/>
        </w:rPr>
      </w:pPr>
      <w:r w:rsidRPr="00D67F00">
        <w:rPr>
          <w:rStyle w:val="Strong"/>
          <w:sz w:val="22"/>
          <w:szCs w:val="22"/>
          <w:u w:val="single"/>
        </w:rPr>
        <w:t>II.2) Description</w:t>
      </w:r>
      <w:r w:rsidR="00D67F00">
        <w:rPr>
          <w:rStyle w:val="Strong"/>
          <w:sz w:val="22"/>
          <w:szCs w:val="22"/>
          <w:u w:val="single"/>
        </w:rPr>
        <w:br/>
      </w:r>
      <w:r w:rsidRPr="003D05B4">
        <w:rPr>
          <w:rStyle w:val="Strong"/>
          <w:sz w:val="22"/>
          <w:szCs w:val="22"/>
          <w:highlight w:val="lightGray"/>
        </w:rPr>
        <w:br/>
      </w:r>
      <w:r w:rsidRPr="00F23829">
        <w:rPr>
          <w:rStyle w:val="Strong"/>
          <w:b w:val="0"/>
          <w:sz w:val="22"/>
          <w:szCs w:val="22"/>
        </w:rPr>
        <w:t xml:space="preserve">Lot no.: </w:t>
      </w:r>
      <w:r w:rsidR="00E17A2E" w:rsidRPr="00F23829">
        <w:rPr>
          <w:rStyle w:val="Strong"/>
          <w:b w:val="0"/>
          <w:sz w:val="22"/>
          <w:szCs w:val="22"/>
        </w:rPr>
        <w:t>1</w:t>
      </w:r>
    </w:p>
    <w:p w14:paraId="485C7487" w14:textId="59472C33" w:rsidR="00F23829" w:rsidRDefault="00EF74CF" w:rsidP="00F23829">
      <w:pPr>
        <w:outlineLvl w:val="0"/>
        <w:rPr>
          <w:rStyle w:val="Strong"/>
          <w:b w:val="0"/>
          <w:sz w:val="22"/>
          <w:szCs w:val="22"/>
          <w:lang w:val="en-GB"/>
        </w:rPr>
      </w:pPr>
      <w:r w:rsidRPr="00F23829">
        <w:rPr>
          <w:rStyle w:val="Strong"/>
          <w:sz w:val="22"/>
          <w:szCs w:val="22"/>
        </w:rPr>
        <w:br/>
      </w:r>
      <w:r w:rsidRPr="00F23829">
        <w:rPr>
          <w:rStyle w:val="Strong"/>
          <w:b w:val="0"/>
          <w:sz w:val="22"/>
          <w:szCs w:val="22"/>
        </w:rPr>
        <w:t xml:space="preserve">Title: </w:t>
      </w:r>
      <w:r w:rsidR="00E17A2E" w:rsidRPr="00F23829">
        <w:rPr>
          <w:rStyle w:val="Strong"/>
          <w:b w:val="0"/>
          <w:sz w:val="22"/>
          <w:szCs w:val="22"/>
        </w:rPr>
        <w:t>Procurement of HPC</w:t>
      </w:r>
      <w:r w:rsidR="00F23829">
        <w:rPr>
          <w:rStyle w:val="Strong"/>
          <w:b w:val="0"/>
          <w:sz w:val="22"/>
          <w:szCs w:val="22"/>
        </w:rPr>
        <w:t xml:space="preserve"> </w:t>
      </w:r>
      <w:r w:rsidR="00EC4B10">
        <w:rPr>
          <w:rStyle w:val="Strong"/>
          <w:b w:val="0"/>
          <w:sz w:val="22"/>
          <w:szCs w:val="22"/>
        </w:rPr>
        <w:t>–</w:t>
      </w:r>
      <w:r w:rsidR="00F23829">
        <w:rPr>
          <w:rStyle w:val="Strong"/>
          <w:b w:val="0"/>
          <w:sz w:val="22"/>
          <w:szCs w:val="22"/>
        </w:rPr>
        <w:t xml:space="preserve"> </w:t>
      </w:r>
      <w:r w:rsidR="00EC4B10">
        <w:rPr>
          <w:rStyle w:val="Strong"/>
          <w:b w:val="0"/>
          <w:sz w:val="22"/>
          <w:szCs w:val="22"/>
        </w:rPr>
        <w:t>ICPAC/</w:t>
      </w:r>
      <w:r w:rsidR="00F23829">
        <w:rPr>
          <w:rStyle w:val="Strong"/>
          <w:b w:val="0"/>
          <w:sz w:val="22"/>
          <w:szCs w:val="22"/>
          <w:lang w:val="en-GB"/>
        </w:rPr>
        <w:t>INTRA-ACP/IOT/GOODS/02/202</w:t>
      </w:r>
      <w:r w:rsidR="00132F03">
        <w:rPr>
          <w:rStyle w:val="Strong"/>
          <w:b w:val="0"/>
          <w:sz w:val="22"/>
          <w:szCs w:val="22"/>
          <w:lang w:val="en-GB"/>
        </w:rPr>
        <w:t>2</w:t>
      </w:r>
    </w:p>
    <w:p w14:paraId="7579633B" w14:textId="77777777" w:rsidR="00EF74CF" w:rsidRPr="00D67F00" w:rsidRDefault="00EF74CF" w:rsidP="00EF74CF">
      <w:pPr>
        <w:outlineLvl w:val="0"/>
        <w:rPr>
          <w:rStyle w:val="Strong"/>
          <w:sz w:val="22"/>
          <w:szCs w:val="22"/>
          <w:highlight w:val="lightGray"/>
          <w:u w:val="single"/>
        </w:rPr>
      </w:pPr>
      <w:r>
        <w:rPr>
          <w:rStyle w:val="Strong"/>
          <w:sz w:val="22"/>
          <w:szCs w:val="22"/>
        </w:rPr>
        <w:br/>
      </w:r>
      <w:r w:rsidRPr="00D67F00">
        <w:rPr>
          <w:rStyle w:val="Strong"/>
          <w:sz w:val="22"/>
          <w:szCs w:val="22"/>
          <w:u w:val="single"/>
        </w:rPr>
        <w:t>II.2.3) Place performance</w:t>
      </w:r>
    </w:p>
    <w:p w14:paraId="4CE0C066" w14:textId="17E44B29" w:rsidR="00EF74CF" w:rsidRDefault="00CC6D8C" w:rsidP="00EF74CF">
      <w:pPr>
        <w:outlineLvl w:val="0"/>
        <w:rPr>
          <w:rStyle w:val="Strong"/>
          <w:b w:val="0"/>
          <w:sz w:val="22"/>
          <w:szCs w:val="22"/>
          <w:lang w:val="en-GB"/>
        </w:rPr>
      </w:pPr>
      <w:r w:rsidRPr="00D67F00">
        <w:rPr>
          <w:rStyle w:val="Strong"/>
          <w:b w:val="0"/>
          <w:sz w:val="22"/>
          <w:szCs w:val="22"/>
          <w:lang w:val="en-GB"/>
        </w:rPr>
        <w:t>Geographical zone benefitting from the action</w:t>
      </w:r>
      <w:r w:rsidR="00EF74CF" w:rsidRPr="00D67F00">
        <w:rPr>
          <w:rStyle w:val="Strong"/>
          <w:b w:val="0"/>
          <w:sz w:val="22"/>
          <w:szCs w:val="22"/>
          <w:lang w:val="en-GB"/>
        </w:rPr>
        <w:t>:</w:t>
      </w:r>
      <w:r w:rsidR="00EF74CF" w:rsidRPr="007450A3">
        <w:rPr>
          <w:rStyle w:val="Strong"/>
          <w:b w:val="0"/>
          <w:sz w:val="22"/>
          <w:szCs w:val="22"/>
          <w:lang w:val="en-GB"/>
        </w:rPr>
        <w:t xml:space="preserve"> </w:t>
      </w:r>
      <w:r w:rsidR="00E17A2E">
        <w:rPr>
          <w:rStyle w:val="Strong"/>
          <w:b w:val="0"/>
          <w:sz w:val="22"/>
          <w:szCs w:val="22"/>
          <w:lang w:val="en-GB"/>
        </w:rPr>
        <w:t>IGAD Region</w:t>
      </w:r>
    </w:p>
    <w:p w14:paraId="6541ED88" w14:textId="1AEB4997" w:rsidR="00EF74CF" w:rsidRPr="00D67F00" w:rsidRDefault="003C10AA" w:rsidP="00EF74CF">
      <w:pPr>
        <w:outlineLvl w:val="0"/>
        <w:rPr>
          <w:rStyle w:val="Strong"/>
          <w:sz w:val="22"/>
          <w:szCs w:val="22"/>
          <w:u w:val="single"/>
          <w:lang w:val="en-GB"/>
        </w:rPr>
      </w:pPr>
      <w:r>
        <w:rPr>
          <w:rStyle w:val="Strong"/>
          <w:sz w:val="22"/>
          <w:szCs w:val="22"/>
          <w:highlight w:val="lightGray"/>
          <w:lang w:val="en-GB"/>
        </w:rPr>
        <w:br/>
      </w:r>
      <w:r w:rsidR="00EF74CF" w:rsidRPr="00D67F00">
        <w:rPr>
          <w:rStyle w:val="Strong"/>
          <w:sz w:val="22"/>
          <w:szCs w:val="22"/>
          <w:u w:val="single"/>
          <w:lang w:val="en-GB"/>
        </w:rPr>
        <w:t>II.2.5</w:t>
      </w:r>
      <w:proofErr w:type="gramStart"/>
      <w:r w:rsidR="00EF74CF" w:rsidRPr="00D67F00">
        <w:rPr>
          <w:rStyle w:val="Strong"/>
          <w:sz w:val="22"/>
          <w:szCs w:val="22"/>
          <w:u w:val="single"/>
          <w:lang w:val="en-GB"/>
        </w:rPr>
        <w:t>)  Award</w:t>
      </w:r>
      <w:proofErr w:type="gramEnd"/>
      <w:r w:rsidR="00EF74CF" w:rsidRPr="00D67F00">
        <w:rPr>
          <w:rStyle w:val="Strong"/>
          <w:sz w:val="22"/>
          <w:szCs w:val="22"/>
          <w:u w:val="single"/>
          <w:lang w:val="en-GB"/>
        </w:rPr>
        <w:t xml:space="preserve"> Criteria</w:t>
      </w:r>
    </w:p>
    <w:p w14:paraId="00AF7606" w14:textId="3D13AE10" w:rsidR="00FA0F43" w:rsidRPr="00F23829" w:rsidRDefault="00FA0F43" w:rsidP="00EF74CF">
      <w:pPr>
        <w:outlineLvl w:val="0"/>
        <w:rPr>
          <w:rStyle w:val="Strong"/>
          <w:b w:val="0"/>
          <w:sz w:val="22"/>
          <w:szCs w:val="22"/>
          <w:lang w:val="en-GB"/>
        </w:rPr>
      </w:pPr>
      <w:r w:rsidRPr="00F23829">
        <w:rPr>
          <w:rStyle w:val="Strong"/>
          <w:b w:val="0"/>
          <w:sz w:val="22"/>
          <w:szCs w:val="22"/>
          <w:lang w:val="en-GB"/>
        </w:rPr>
        <w:t>Technical Evaluation</w:t>
      </w:r>
    </w:p>
    <w:p w14:paraId="37FF93A8" w14:textId="2B695D74" w:rsidR="000A0E9D" w:rsidRDefault="00FA0F43" w:rsidP="000A0E9D">
      <w:pPr>
        <w:outlineLvl w:val="0"/>
        <w:rPr>
          <w:rStyle w:val="Strong"/>
          <w:sz w:val="22"/>
          <w:szCs w:val="22"/>
          <w:u w:val="single"/>
          <w:lang w:val="en-GB"/>
        </w:rPr>
      </w:pPr>
      <w:r w:rsidRPr="00F23829">
        <w:rPr>
          <w:rStyle w:val="Strong"/>
          <w:b w:val="0"/>
          <w:sz w:val="22"/>
          <w:szCs w:val="22"/>
          <w:lang w:val="en-GB"/>
        </w:rPr>
        <w:t xml:space="preserve">Financial Evaluation </w:t>
      </w:r>
    </w:p>
    <w:p w14:paraId="352B43A2" w14:textId="5C11F562" w:rsidR="000A0E9D" w:rsidRPr="000A0E9D" w:rsidRDefault="000A0E9D" w:rsidP="000A0E9D">
      <w:pPr>
        <w:outlineLvl w:val="0"/>
        <w:rPr>
          <w:b/>
          <w:sz w:val="22"/>
          <w:szCs w:val="22"/>
          <w:u w:val="single"/>
          <w:lang w:val="en-GB"/>
        </w:rPr>
      </w:pPr>
      <w:r w:rsidRPr="000A0E9D">
        <w:rPr>
          <w:sz w:val="22"/>
          <w:szCs w:val="22"/>
          <w:lang w:val="en-GB"/>
        </w:rPr>
        <w:t>Best price-quality ratio</w:t>
      </w:r>
    </w:p>
    <w:p w14:paraId="41C0250D" w14:textId="22C715AF" w:rsidR="00EF74CF" w:rsidRPr="00FA0F43" w:rsidRDefault="00EF74CF" w:rsidP="00EF74CF">
      <w:pPr>
        <w:outlineLvl w:val="0"/>
        <w:rPr>
          <w:rStyle w:val="Strong"/>
          <w:b w:val="0"/>
          <w:sz w:val="22"/>
          <w:szCs w:val="22"/>
        </w:rPr>
      </w:pPr>
      <w:r>
        <w:rPr>
          <w:rStyle w:val="Strong"/>
          <w:sz w:val="22"/>
          <w:szCs w:val="22"/>
          <w:u w:val="single"/>
          <w:lang w:val="en-GB"/>
        </w:rPr>
        <w:br/>
      </w:r>
      <w:r w:rsidRPr="00D67F00">
        <w:rPr>
          <w:rStyle w:val="Strong"/>
          <w:sz w:val="22"/>
          <w:szCs w:val="22"/>
          <w:u w:val="single"/>
          <w:lang w:val="en-GB"/>
        </w:rPr>
        <w:t>II.2.14) Additional information</w:t>
      </w:r>
    </w:p>
    <w:p w14:paraId="035A4BBA" w14:textId="002B5617" w:rsidR="00EF74CF" w:rsidRPr="00EF74CF" w:rsidRDefault="00EF74CF" w:rsidP="00EF74CF">
      <w:pPr>
        <w:outlineLvl w:val="0"/>
        <w:rPr>
          <w:rStyle w:val="Strong"/>
          <w:b w:val="0"/>
          <w:sz w:val="22"/>
          <w:szCs w:val="22"/>
          <w:lang w:val="en-GB"/>
        </w:rPr>
      </w:pPr>
      <w:r w:rsidRPr="00EF74CF">
        <w:rPr>
          <w:rStyle w:val="Strong"/>
          <w:b w:val="0"/>
          <w:sz w:val="22"/>
          <w:szCs w:val="22"/>
          <w:lang w:val="en-GB"/>
        </w:rPr>
        <w:t>Additional services/works</w:t>
      </w:r>
      <w:r w:rsidR="00CC6D8C">
        <w:rPr>
          <w:rStyle w:val="Strong"/>
          <w:b w:val="0"/>
          <w:sz w:val="22"/>
          <w:szCs w:val="22"/>
          <w:lang w:val="en-GB"/>
        </w:rPr>
        <w:t xml:space="preserve"> </w:t>
      </w:r>
    </w:p>
    <w:p w14:paraId="3A17D68B" w14:textId="235E4380" w:rsidR="00EF74CF" w:rsidRPr="00EF74CF" w:rsidRDefault="00EF74CF" w:rsidP="00EF74CF">
      <w:pPr>
        <w:jc w:val="both"/>
        <w:outlineLvl w:val="0"/>
        <w:rPr>
          <w:rStyle w:val="Strong"/>
          <w:b w:val="0"/>
          <w:sz w:val="22"/>
          <w:szCs w:val="22"/>
          <w:lang w:val="en-GB"/>
        </w:rPr>
      </w:pPr>
      <w:r w:rsidRPr="00EF74CF">
        <w:rPr>
          <w:rStyle w:val="Strong"/>
          <w:b w:val="0"/>
          <w:sz w:val="22"/>
          <w:szCs w:val="22"/>
          <w:lang w:val="en-GB"/>
        </w:rPr>
        <w:t xml:space="preserve">Subsequent to the initial contract resulting from the current tender procedure, new services or works consisting in the repetition of similar services or works, up to the estimated amount of </w:t>
      </w:r>
      <w:r w:rsidR="00F23829">
        <w:rPr>
          <w:rStyle w:val="Strong"/>
          <w:b w:val="0"/>
          <w:sz w:val="22"/>
          <w:szCs w:val="22"/>
          <w:lang w:val="en-GB"/>
        </w:rPr>
        <w:t>50% of initial contract,</w:t>
      </w:r>
      <w:r w:rsidRPr="00EF74CF">
        <w:rPr>
          <w:rStyle w:val="Strong"/>
          <w:b w:val="0"/>
          <w:sz w:val="22"/>
          <w:szCs w:val="22"/>
          <w:lang w:val="en-GB"/>
        </w:rPr>
        <w:t xml:space="preserve"> may be entrusted to the initial contractor by negotiated procedure without prior publication of a contract notice, provided the new services or works are in conformity with the same basic project.</w:t>
      </w:r>
    </w:p>
    <w:p w14:paraId="4772D783" w14:textId="3F4A0F7F" w:rsidR="00CC6D8C" w:rsidRPr="00D67F00" w:rsidRDefault="00D67F00" w:rsidP="00CC6D8C">
      <w:pPr>
        <w:outlineLvl w:val="0"/>
        <w:rPr>
          <w:rStyle w:val="Strong"/>
          <w:sz w:val="22"/>
          <w:szCs w:val="22"/>
          <w:u w:val="single"/>
          <w:lang w:val="en-GB"/>
        </w:rPr>
      </w:pPr>
      <w:r>
        <w:rPr>
          <w:rStyle w:val="Strong"/>
          <w:sz w:val="22"/>
          <w:szCs w:val="22"/>
          <w:lang w:val="en-GB"/>
        </w:rPr>
        <w:br/>
      </w:r>
      <w:r w:rsidR="00CC6D8C" w:rsidRPr="00D67F00">
        <w:rPr>
          <w:rStyle w:val="Strong"/>
          <w:sz w:val="22"/>
          <w:szCs w:val="22"/>
          <w:u w:val="single"/>
          <w:lang w:val="en-GB"/>
        </w:rPr>
        <w:t xml:space="preserve">IV.2.2) Time limit for </w:t>
      </w:r>
      <w:r w:rsidR="00D25196">
        <w:rPr>
          <w:rStyle w:val="Strong"/>
          <w:sz w:val="22"/>
          <w:szCs w:val="22"/>
          <w:u w:val="single"/>
          <w:lang w:val="en-GB"/>
        </w:rPr>
        <w:t>submission</w:t>
      </w:r>
      <w:r w:rsidR="00CC6D8C" w:rsidRPr="00D67F00">
        <w:rPr>
          <w:rStyle w:val="Strong"/>
          <w:sz w:val="22"/>
          <w:szCs w:val="22"/>
          <w:u w:val="single"/>
          <w:lang w:val="en-GB"/>
        </w:rPr>
        <w:t xml:space="preserve"> of tenders or requests to participate</w:t>
      </w:r>
    </w:p>
    <w:p w14:paraId="1BC28BB7" w14:textId="21B79BD3" w:rsidR="00CC6D8C" w:rsidRPr="00F82AA4" w:rsidRDefault="00CC6D8C" w:rsidP="00CC6D8C">
      <w:pPr>
        <w:outlineLvl w:val="0"/>
        <w:rPr>
          <w:rStyle w:val="Strong"/>
          <w:b w:val="0"/>
          <w:sz w:val="22"/>
          <w:szCs w:val="22"/>
          <w:lang w:val="en-GB"/>
        </w:rPr>
      </w:pPr>
      <w:r w:rsidRPr="00F82AA4">
        <w:rPr>
          <w:rStyle w:val="Strong"/>
          <w:b w:val="0"/>
          <w:sz w:val="22"/>
          <w:szCs w:val="22"/>
          <w:lang w:val="en-GB"/>
        </w:rPr>
        <w:t xml:space="preserve">Date: </w:t>
      </w:r>
      <w:r w:rsidR="00FA0F43">
        <w:rPr>
          <w:rStyle w:val="Strong"/>
          <w:b w:val="0"/>
          <w:sz w:val="22"/>
          <w:szCs w:val="22"/>
          <w:lang w:val="en-GB"/>
        </w:rPr>
        <w:t>2</w:t>
      </w:r>
      <w:r w:rsidR="00132F03">
        <w:rPr>
          <w:rStyle w:val="Strong"/>
          <w:b w:val="0"/>
          <w:sz w:val="22"/>
          <w:szCs w:val="22"/>
          <w:lang w:val="en-GB"/>
        </w:rPr>
        <w:t>1 March 2022</w:t>
      </w:r>
      <w:r w:rsidRPr="00F82AA4">
        <w:rPr>
          <w:rStyle w:val="Strong"/>
          <w:b w:val="0"/>
          <w:sz w:val="22"/>
          <w:szCs w:val="22"/>
          <w:lang w:val="en-GB"/>
        </w:rPr>
        <w:br/>
        <w:t xml:space="preserve">Local Time: </w:t>
      </w:r>
      <w:r w:rsidR="00FA0F43">
        <w:rPr>
          <w:rStyle w:val="Strong"/>
          <w:b w:val="0"/>
          <w:sz w:val="22"/>
          <w:szCs w:val="22"/>
          <w:lang w:val="en-GB"/>
        </w:rPr>
        <w:t>11.00 am (Nairobi, Kenya)</w:t>
      </w:r>
    </w:p>
    <w:p w14:paraId="1176BE21" w14:textId="43A2ED9E" w:rsidR="00CC6D8C" w:rsidRPr="007C201A" w:rsidRDefault="00CC6D8C" w:rsidP="00CC6D8C">
      <w:pPr>
        <w:outlineLvl w:val="0"/>
        <w:rPr>
          <w:rStyle w:val="Strong"/>
          <w:sz w:val="22"/>
          <w:szCs w:val="22"/>
          <w:u w:val="single"/>
          <w:lang w:val="en-GB"/>
        </w:rPr>
      </w:pPr>
      <w:r>
        <w:rPr>
          <w:rStyle w:val="Strong"/>
          <w:sz w:val="22"/>
          <w:szCs w:val="22"/>
          <w:lang w:val="en-GB"/>
        </w:rPr>
        <w:br/>
      </w:r>
      <w:r w:rsidRPr="007C201A">
        <w:rPr>
          <w:rStyle w:val="Strong"/>
          <w:sz w:val="22"/>
          <w:szCs w:val="22"/>
          <w:u w:val="single"/>
          <w:lang w:val="en-GB"/>
        </w:rPr>
        <w:t>IV.2.6) Minimum time frame during which the tenderer must maintain the tender</w:t>
      </w:r>
    </w:p>
    <w:p w14:paraId="1368B8E1" w14:textId="57D76B60" w:rsidR="00CC6D8C" w:rsidRPr="00F82AA4" w:rsidRDefault="00CC6D8C" w:rsidP="00CC6D8C">
      <w:pPr>
        <w:outlineLvl w:val="0"/>
        <w:rPr>
          <w:rStyle w:val="Strong"/>
          <w:b w:val="0"/>
          <w:sz w:val="22"/>
          <w:szCs w:val="22"/>
          <w:lang w:val="en-GB"/>
        </w:rPr>
      </w:pPr>
      <w:r>
        <w:rPr>
          <w:rStyle w:val="Strong"/>
          <w:b w:val="0"/>
          <w:sz w:val="22"/>
          <w:szCs w:val="22"/>
          <w:lang w:val="en-GB"/>
        </w:rPr>
        <w:t xml:space="preserve">Duration in months:  </w:t>
      </w:r>
      <w:r w:rsidR="00DF658C">
        <w:rPr>
          <w:rStyle w:val="Strong"/>
          <w:b w:val="0"/>
          <w:sz w:val="22"/>
          <w:szCs w:val="22"/>
          <w:lang w:val="en-GB"/>
        </w:rPr>
        <w:t>3</w:t>
      </w:r>
      <w:r w:rsidR="002A484E">
        <w:rPr>
          <w:rStyle w:val="Strong"/>
          <w:b w:val="0"/>
          <w:sz w:val="22"/>
          <w:szCs w:val="22"/>
          <w:lang w:val="en-GB"/>
        </w:rPr>
        <w:t xml:space="preserve"> months</w:t>
      </w:r>
      <w:r w:rsidRPr="00F82AA4">
        <w:rPr>
          <w:rStyle w:val="Strong"/>
          <w:b w:val="0"/>
          <w:sz w:val="22"/>
          <w:szCs w:val="22"/>
          <w:lang w:val="en-GB"/>
        </w:rPr>
        <w:t xml:space="preserve"> (from the date stated for receipt of tender</w:t>
      </w:r>
      <w:r>
        <w:rPr>
          <w:rStyle w:val="Strong"/>
          <w:b w:val="0"/>
          <w:sz w:val="22"/>
          <w:szCs w:val="22"/>
          <w:lang w:val="en-GB"/>
        </w:rPr>
        <w:t>)</w:t>
      </w:r>
    </w:p>
    <w:p w14:paraId="33894EC1" w14:textId="35F00F63" w:rsidR="00CC6D8C" w:rsidRPr="007C201A" w:rsidRDefault="00CC6D8C" w:rsidP="00CC6D8C">
      <w:pPr>
        <w:outlineLvl w:val="0"/>
        <w:rPr>
          <w:rStyle w:val="Strong"/>
          <w:sz w:val="22"/>
          <w:szCs w:val="22"/>
          <w:u w:val="single"/>
          <w:lang w:val="en-GB"/>
        </w:rPr>
      </w:pPr>
      <w:r>
        <w:rPr>
          <w:rStyle w:val="Strong"/>
          <w:sz w:val="22"/>
          <w:szCs w:val="22"/>
          <w:u w:val="single"/>
          <w:lang w:val="en-GB"/>
        </w:rPr>
        <w:br/>
      </w:r>
      <w:r w:rsidRPr="007C201A">
        <w:rPr>
          <w:rStyle w:val="Strong"/>
          <w:sz w:val="22"/>
          <w:szCs w:val="22"/>
          <w:u w:val="single"/>
          <w:lang w:val="en-GB"/>
        </w:rPr>
        <w:t xml:space="preserve">IV.2.7) Conditions for opening of tenders </w:t>
      </w:r>
    </w:p>
    <w:p w14:paraId="4B3F0DCB" w14:textId="6B83DED0" w:rsidR="00DE28AE" w:rsidRDefault="00CC6D8C" w:rsidP="007B234C">
      <w:pPr>
        <w:outlineLvl w:val="0"/>
        <w:rPr>
          <w:rStyle w:val="Strong"/>
          <w:b w:val="0"/>
          <w:sz w:val="22"/>
          <w:szCs w:val="22"/>
          <w:lang w:val="en-GB"/>
        </w:rPr>
      </w:pPr>
      <w:r w:rsidRPr="00F82AA4">
        <w:rPr>
          <w:rStyle w:val="Strong"/>
          <w:b w:val="0"/>
          <w:sz w:val="22"/>
          <w:szCs w:val="22"/>
          <w:lang w:val="en-GB"/>
        </w:rPr>
        <w:t>Date:</w:t>
      </w:r>
      <w:r w:rsidRPr="00F82AA4">
        <w:rPr>
          <w:rStyle w:val="Strong"/>
          <w:b w:val="0"/>
          <w:sz w:val="22"/>
          <w:szCs w:val="22"/>
          <w:u w:val="single"/>
          <w:lang w:val="en-GB"/>
        </w:rPr>
        <w:t xml:space="preserve"> </w:t>
      </w:r>
      <w:r w:rsidR="00132F03">
        <w:rPr>
          <w:rStyle w:val="Strong"/>
          <w:b w:val="0"/>
          <w:sz w:val="22"/>
          <w:szCs w:val="22"/>
          <w:lang w:val="en-GB"/>
        </w:rPr>
        <w:t>28</w:t>
      </w:r>
      <w:r w:rsidR="000A0E9D">
        <w:rPr>
          <w:rStyle w:val="Strong"/>
          <w:b w:val="0"/>
          <w:sz w:val="22"/>
          <w:szCs w:val="22"/>
          <w:lang w:val="en-GB"/>
        </w:rPr>
        <w:t xml:space="preserve"> March</w:t>
      </w:r>
      <w:r w:rsidR="002A484E">
        <w:rPr>
          <w:rStyle w:val="Strong"/>
          <w:b w:val="0"/>
          <w:sz w:val="22"/>
          <w:szCs w:val="22"/>
          <w:lang w:val="en-GB"/>
        </w:rPr>
        <w:t xml:space="preserve"> 202</w:t>
      </w:r>
      <w:r w:rsidR="000A0E9D">
        <w:rPr>
          <w:rStyle w:val="Strong"/>
          <w:b w:val="0"/>
          <w:sz w:val="22"/>
          <w:szCs w:val="22"/>
          <w:lang w:val="en-GB"/>
        </w:rPr>
        <w:t>2</w:t>
      </w:r>
      <w:r w:rsidRPr="00F82AA4">
        <w:rPr>
          <w:rStyle w:val="Strong"/>
          <w:b w:val="0"/>
          <w:sz w:val="22"/>
          <w:szCs w:val="22"/>
          <w:u w:val="single"/>
          <w:lang w:val="en-GB"/>
        </w:rPr>
        <w:br/>
      </w:r>
      <w:r w:rsidRPr="00F82AA4">
        <w:rPr>
          <w:rStyle w:val="Strong"/>
          <w:b w:val="0"/>
          <w:sz w:val="22"/>
          <w:szCs w:val="22"/>
          <w:lang w:val="en-GB"/>
        </w:rPr>
        <w:t>Local time</w:t>
      </w:r>
      <w:r w:rsidRPr="00F82AA4">
        <w:rPr>
          <w:rStyle w:val="Strong"/>
          <w:b w:val="0"/>
          <w:sz w:val="22"/>
          <w:szCs w:val="22"/>
          <w:u w:val="single"/>
          <w:lang w:val="en-GB"/>
        </w:rPr>
        <w:t xml:space="preserve">: </w:t>
      </w:r>
      <w:r w:rsidR="002A484E">
        <w:rPr>
          <w:rStyle w:val="Strong"/>
          <w:b w:val="0"/>
          <w:sz w:val="22"/>
          <w:szCs w:val="22"/>
          <w:lang w:val="en-GB"/>
        </w:rPr>
        <w:t>11.</w:t>
      </w:r>
      <w:r w:rsidR="00A401B7">
        <w:rPr>
          <w:rStyle w:val="Strong"/>
          <w:b w:val="0"/>
          <w:sz w:val="22"/>
          <w:szCs w:val="22"/>
          <w:lang w:val="en-GB"/>
        </w:rPr>
        <w:t>0</w:t>
      </w:r>
      <w:r w:rsidR="002A484E">
        <w:rPr>
          <w:rStyle w:val="Strong"/>
          <w:b w:val="0"/>
          <w:sz w:val="22"/>
          <w:szCs w:val="22"/>
          <w:lang w:val="en-GB"/>
        </w:rPr>
        <w:t>0am (Nairobi, Kenya)</w:t>
      </w:r>
      <w:r>
        <w:rPr>
          <w:rStyle w:val="Strong"/>
          <w:sz w:val="22"/>
          <w:szCs w:val="22"/>
          <w:u w:val="single"/>
          <w:lang w:val="en-GB"/>
        </w:rPr>
        <w:br/>
      </w:r>
      <w:r w:rsidRPr="00F82AA4">
        <w:rPr>
          <w:rStyle w:val="Strong"/>
          <w:b w:val="0"/>
          <w:sz w:val="22"/>
          <w:szCs w:val="22"/>
          <w:lang w:val="en-GB"/>
        </w:rPr>
        <w:t xml:space="preserve">Place: </w:t>
      </w:r>
      <w:r w:rsidR="002A484E">
        <w:rPr>
          <w:rStyle w:val="Strong"/>
          <w:b w:val="0"/>
          <w:sz w:val="22"/>
          <w:szCs w:val="22"/>
          <w:lang w:val="en-GB"/>
        </w:rPr>
        <w:t>ICPAC Headquarters in Ngong town, Kibik</w:t>
      </w:r>
      <w:r w:rsidR="00AC2433">
        <w:rPr>
          <w:rStyle w:val="Strong"/>
          <w:b w:val="0"/>
          <w:sz w:val="22"/>
          <w:szCs w:val="22"/>
          <w:lang w:val="en-GB"/>
        </w:rPr>
        <w:t>o</w:t>
      </w:r>
      <w:r w:rsidR="002A484E">
        <w:rPr>
          <w:rStyle w:val="Strong"/>
          <w:b w:val="0"/>
          <w:sz w:val="22"/>
          <w:szCs w:val="22"/>
          <w:lang w:val="en-GB"/>
        </w:rPr>
        <w:t xml:space="preserve"> </w:t>
      </w:r>
      <w:r w:rsidRPr="00F82AA4">
        <w:rPr>
          <w:rStyle w:val="Strong"/>
          <w:b w:val="0"/>
          <w:sz w:val="22"/>
          <w:szCs w:val="22"/>
          <w:lang w:val="en-GB"/>
        </w:rPr>
        <w:br/>
        <w:t>Information about authorised persons and opening procedure:</w:t>
      </w:r>
      <w:r w:rsidRPr="00F82AA4">
        <w:t xml:space="preserve"> </w:t>
      </w:r>
      <w:r w:rsidRPr="00F82AA4">
        <w:rPr>
          <w:rStyle w:val="Strong"/>
          <w:b w:val="0"/>
          <w:sz w:val="22"/>
          <w:szCs w:val="22"/>
          <w:lang w:val="en-GB"/>
        </w:rPr>
        <w:t>See Internet address provided in Section I.3.</w:t>
      </w:r>
    </w:p>
    <w:p w14:paraId="58C6C8F7" w14:textId="5D18923B" w:rsidR="000A0E9D" w:rsidRDefault="000A0E9D" w:rsidP="007B234C">
      <w:pPr>
        <w:outlineLvl w:val="0"/>
        <w:rPr>
          <w:rStyle w:val="Strong"/>
          <w:b w:val="0"/>
          <w:sz w:val="22"/>
          <w:szCs w:val="22"/>
          <w:lang w:val="en-GB"/>
        </w:rPr>
      </w:pPr>
    </w:p>
    <w:p w14:paraId="12AECDDC" w14:textId="571C1E07" w:rsidR="000A0E9D" w:rsidRDefault="000A0E9D" w:rsidP="007B234C">
      <w:pPr>
        <w:outlineLvl w:val="0"/>
        <w:rPr>
          <w:rStyle w:val="Strong"/>
          <w:b w:val="0"/>
          <w:sz w:val="22"/>
          <w:szCs w:val="22"/>
          <w:lang w:val="en-GB"/>
        </w:rPr>
      </w:pPr>
    </w:p>
    <w:p w14:paraId="6CB8D9B8" w14:textId="0A854642" w:rsidR="000A0E9D" w:rsidRDefault="000A0E9D" w:rsidP="007B234C">
      <w:pPr>
        <w:outlineLvl w:val="0"/>
        <w:rPr>
          <w:rStyle w:val="Strong"/>
          <w:b w:val="0"/>
          <w:sz w:val="22"/>
          <w:szCs w:val="22"/>
          <w:lang w:val="en-GB"/>
        </w:rPr>
      </w:pPr>
    </w:p>
    <w:p w14:paraId="35E5005C" w14:textId="2D4B8D9C" w:rsidR="000A0E9D" w:rsidRDefault="000A0E9D" w:rsidP="007B234C">
      <w:pPr>
        <w:outlineLvl w:val="0"/>
        <w:rPr>
          <w:rStyle w:val="Strong"/>
          <w:b w:val="0"/>
          <w:sz w:val="22"/>
          <w:szCs w:val="22"/>
          <w:lang w:val="en-GB"/>
        </w:rPr>
      </w:pPr>
    </w:p>
    <w:p w14:paraId="46845863" w14:textId="5E3FA913" w:rsidR="000A0E9D" w:rsidRDefault="000A0E9D" w:rsidP="007B234C">
      <w:pPr>
        <w:outlineLvl w:val="0"/>
        <w:rPr>
          <w:rStyle w:val="Strong"/>
          <w:b w:val="0"/>
          <w:sz w:val="22"/>
          <w:szCs w:val="22"/>
          <w:lang w:val="en-GB"/>
        </w:rPr>
      </w:pPr>
    </w:p>
    <w:p w14:paraId="503E7D26" w14:textId="77777777" w:rsidR="000A0E9D" w:rsidRPr="000A0E9D" w:rsidRDefault="000A0E9D" w:rsidP="000A0E9D">
      <w:pPr>
        <w:tabs>
          <w:tab w:val="left" w:pos="426"/>
        </w:tabs>
        <w:rPr>
          <w:sz w:val="20"/>
          <w:highlight w:val="yellow"/>
          <w:lang w:val="en-GB"/>
        </w:rPr>
      </w:pPr>
      <w:r w:rsidRPr="000A0E9D">
        <w:rPr>
          <w:noProof/>
        </w:rPr>
        <w:drawing>
          <wp:anchor distT="0" distB="0" distL="114300" distR="114300" simplePos="0" relativeHeight="251663360" behindDoc="0" locked="0" layoutInCell="1" allowOverlap="1" wp14:anchorId="0C1D8733" wp14:editId="63D87715">
            <wp:simplePos x="0" y="0"/>
            <wp:positionH relativeFrom="margin">
              <wp:align>right</wp:align>
            </wp:positionH>
            <wp:positionV relativeFrom="paragraph">
              <wp:posOffset>212141</wp:posOffset>
            </wp:positionV>
            <wp:extent cx="1606550" cy="9798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6550" cy="979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0E9D">
        <w:rPr>
          <w:rFonts w:ascii="Calibri" w:hAnsi="Calibri" w:cs="Calibri"/>
          <w:noProof/>
          <w:snapToGrid/>
        </w:rPr>
        <w:drawing>
          <wp:inline distT="0" distB="0" distL="0" distR="0" wp14:anchorId="025D4C61" wp14:editId="5047E05B">
            <wp:extent cx="1463040" cy="12560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3040" cy="1256030"/>
                    </a:xfrm>
                    <a:prstGeom prst="rect">
                      <a:avLst/>
                    </a:prstGeom>
                    <a:noFill/>
                    <a:ln>
                      <a:noFill/>
                    </a:ln>
                  </pic:spPr>
                </pic:pic>
              </a:graphicData>
            </a:graphic>
          </wp:inline>
        </w:drawing>
      </w:r>
      <w:r w:rsidRPr="000A0E9D">
        <w:rPr>
          <w:sz w:val="20"/>
          <w:highlight w:val="yellow"/>
          <w:lang w:val="en-GB"/>
        </w:rPr>
        <w:t xml:space="preserve">                                     </w:t>
      </w:r>
    </w:p>
    <w:p w14:paraId="08540821" w14:textId="77777777" w:rsidR="000A0E9D" w:rsidRPr="000A0E9D" w:rsidRDefault="000A0E9D" w:rsidP="000A0E9D">
      <w:pPr>
        <w:jc w:val="center"/>
        <w:rPr>
          <w:sz w:val="20"/>
          <w:lang w:val="en-GB"/>
        </w:rPr>
      </w:pPr>
      <w:r w:rsidRPr="000A0E9D">
        <w:rPr>
          <w:sz w:val="20"/>
          <w:lang w:val="en-GB"/>
        </w:rPr>
        <w:br/>
      </w:r>
    </w:p>
    <w:p w14:paraId="1AC88DFE" w14:textId="77777777" w:rsidR="000A0E9D" w:rsidRPr="000A0E9D" w:rsidRDefault="000A0E9D" w:rsidP="000A0E9D">
      <w:pPr>
        <w:jc w:val="center"/>
        <w:rPr>
          <w:b/>
          <w:sz w:val="28"/>
          <w:szCs w:val="28"/>
          <w:lang w:val="en-GB"/>
        </w:rPr>
      </w:pPr>
      <w:r w:rsidRPr="000A0E9D">
        <w:rPr>
          <w:b/>
          <w:sz w:val="28"/>
          <w:szCs w:val="28"/>
          <w:lang w:val="en-GB"/>
        </w:rPr>
        <w:t>Additional information about the Contract Notice</w:t>
      </w:r>
    </w:p>
    <w:p w14:paraId="1AFBFF00" w14:textId="77777777" w:rsidR="000A0E9D" w:rsidRPr="000A0E9D" w:rsidRDefault="000A0E9D" w:rsidP="000A0E9D">
      <w:pPr>
        <w:rPr>
          <w:sz w:val="28"/>
          <w:szCs w:val="28"/>
          <w:highlight w:val="yellow"/>
          <w:lang w:val="en-GB"/>
        </w:rPr>
      </w:pPr>
      <w:r w:rsidRPr="000A0E9D">
        <w:rPr>
          <w:sz w:val="28"/>
          <w:szCs w:val="28"/>
          <w:lang w:val="en-GB"/>
        </w:rPr>
        <w:br/>
      </w:r>
    </w:p>
    <w:p w14:paraId="50725F8B" w14:textId="7FC30579" w:rsidR="000A0E9D" w:rsidRPr="000A0E9D" w:rsidRDefault="000A0E9D" w:rsidP="000A0E9D">
      <w:pPr>
        <w:jc w:val="center"/>
        <w:outlineLvl w:val="0"/>
        <w:rPr>
          <w:sz w:val="22"/>
          <w:szCs w:val="22"/>
          <w:lang w:val="en-GB"/>
        </w:rPr>
      </w:pPr>
      <w:bookmarkStart w:id="2" w:name="_Hlk89943145"/>
      <w:r w:rsidRPr="000A0E9D">
        <w:rPr>
          <w:sz w:val="22"/>
          <w:szCs w:val="22"/>
          <w:lang w:val="en-GB"/>
        </w:rPr>
        <w:t xml:space="preserve">PROCUREMENT OF </w:t>
      </w:r>
      <w:proofErr w:type="gramStart"/>
      <w:r w:rsidRPr="000A0E9D">
        <w:rPr>
          <w:sz w:val="22"/>
          <w:szCs w:val="22"/>
          <w:lang w:val="en-GB"/>
        </w:rPr>
        <w:t>HIGH PERFORMANCE</w:t>
      </w:r>
      <w:proofErr w:type="gramEnd"/>
      <w:r w:rsidRPr="000A0E9D">
        <w:rPr>
          <w:sz w:val="22"/>
          <w:szCs w:val="22"/>
          <w:lang w:val="en-GB"/>
        </w:rPr>
        <w:t xml:space="preserve"> COMPUTING (HPC) </w:t>
      </w:r>
      <w:r w:rsidR="00132F03">
        <w:rPr>
          <w:sz w:val="22"/>
          <w:szCs w:val="22"/>
          <w:lang w:val="en-GB"/>
        </w:rPr>
        <w:t>PLATFORM</w:t>
      </w:r>
    </w:p>
    <w:p w14:paraId="4EC82858" w14:textId="17921C6C" w:rsidR="000A0E9D" w:rsidRPr="000A0E9D" w:rsidRDefault="00EC4B10" w:rsidP="000A0E9D">
      <w:pPr>
        <w:jc w:val="center"/>
        <w:outlineLvl w:val="0"/>
        <w:rPr>
          <w:sz w:val="22"/>
          <w:szCs w:val="22"/>
          <w:lang w:val="en-GB"/>
        </w:rPr>
      </w:pPr>
      <w:r>
        <w:rPr>
          <w:sz w:val="22"/>
          <w:szCs w:val="22"/>
          <w:lang w:val="en-GB"/>
        </w:rPr>
        <w:t>ICPAC/</w:t>
      </w:r>
      <w:r w:rsidR="000A0E9D" w:rsidRPr="000A0E9D">
        <w:rPr>
          <w:sz w:val="22"/>
          <w:szCs w:val="22"/>
          <w:lang w:val="en-GB"/>
        </w:rPr>
        <w:t>INTRA-ACP/IOT/GOODS/02/202</w:t>
      </w:r>
      <w:r w:rsidR="00132F03">
        <w:rPr>
          <w:sz w:val="22"/>
          <w:szCs w:val="22"/>
          <w:lang w:val="en-GB"/>
        </w:rPr>
        <w:t>2</w:t>
      </w:r>
    </w:p>
    <w:bookmarkEnd w:id="2"/>
    <w:p w14:paraId="6FC0916E" w14:textId="77777777" w:rsidR="000A0E9D" w:rsidRPr="000A0E9D" w:rsidRDefault="000A0E9D" w:rsidP="000A0E9D">
      <w:pPr>
        <w:jc w:val="center"/>
        <w:outlineLvl w:val="0"/>
        <w:rPr>
          <w:sz w:val="22"/>
          <w:szCs w:val="22"/>
          <w:lang w:val="en-GB"/>
        </w:rPr>
      </w:pPr>
      <w:r w:rsidRPr="000A0E9D">
        <w:rPr>
          <w:b/>
          <w:sz w:val="28"/>
          <w:szCs w:val="28"/>
          <w:lang w:val="en-GB"/>
        </w:rPr>
        <w:t xml:space="preserve"> </w:t>
      </w:r>
      <w:r w:rsidRPr="000A0E9D">
        <w:rPr>
          <w:sz w:val="28"/>
          <w:szCs w:val="28"/>
          <w:lang w:val="en-GB"/>
        </w:rPr>
        <w:t>Nairobi, Kenya</w:t>
      </w:r>
    </w:p>
    <w:p w14:paraId="49982484" w14:textId="77777777" w:rsidR="000A0E9D" w:rsidRPr="000A0E9D" w:rsidRDefault="000A0E9D" w:rsidP="000A0E9D">
      <w:pPr>
        <w:outlineLvl w:val="0"/>
        <w:rPr>
          <w:b/>
          <w:sz w:val="22"/>
          <w:szCs w:val="22"/>
          <w:highlight w:val="yellow"/>
          <w:lang w:val="en-GB"/>
        </w:rPr>
      </w:pPr>
    </w:p>
    <w:p w14:paraId="6CBDCA05" w14:textId="77777777" w:rsidR="000A0E9D" w:rsidRPr="000A0E9D" w:rsidRDefault="000A0E9D" w:rsidP="000A0E9D">
      <w:pPr>
        <w:outlineLvl w:val="0"/>
        <w:rPr>
          <w:b/>
          <w:sz w:val="22"/>
          <w:szCs w:val="22"/>
          <w:highlight w:val="yellow"/>
          <w:lang w:val="en-GB"/>
        </w:rPr>
      </w:pPr>
    </w:p>
    <w:p w14:paraId="47FC1B80" w14:textId="77777777" w:rsidR="000A0E9D" w:rsidRPr="000A0E9D" w:rsidRDefault="000A0E9D" w:rsidP="000A0E9D">
      <w:pPr>
        <w:outlineLvl w:val="0"/>
        <w:rPr>
          <w:b/>
          <w:sz w:val="22"/>
          <w:szCs w:val="22"/>
          <w:highlight w:val="yellow"/>
          <w:lang w:val="en-GB"/>
        </w:rPr>
      </w:pPr>
    </w:p>
    <w:p w14:paraId="2DB7D6BE" w14:textId="77777777" w:rsidR="000A0E9D" w:rsidRPr="000A0E9D" w:rsidRDefault="000A0E9D" w:rsidP="000A0E9D">
      <w:pPr>
        <w:outlineLvl w:val="0"/>
        <w:rPr>
          <w:b/>
          <w:sz w:val="22"/>
          <w:szCs w:val="22"/>
          <w:lang w:val="en-GB"/>
        </w:rPr>
      </w:pPr>
      <w:r w:rsidRPr="000A0E9D">
        <w:rPr>
          <w:b/>
          <w:sz w:val="22"/>
          <w:szCs w:val="22"/>
          <w:lang w:val="en-GB"/>
        </w:rPr>
        <w:t>Nature of contract</w:t>
      </w:r>
    </w:p>
    <w:p w14:paraId="00B5F751" w14:textId="77777777" w:rsidR="000A0E9D" w:rsidRPr="000A0E9D" w:rsidRDefault="000A0E9D" w:rsidP="000A0E9D">
      <w:pPr>
        <w:rPr>
          <w:snapToGrid/>
          <w:sz w:val="22"/>
          <w:lang w:val="en-GB"/>
        </w:rPr>
      </w:pPr>
      <w:r w:rsidRPr="000A0E9D">
        <w:rPr>
          <w:sz w:val="22"/>
          <w:szCs w:val="22"/>
          <w:lang w:val="en-GB"/>
        </w:rPr>
        <w:t>Unit price based</w:t>
      </w:r>
    </w:p>
    <w:p w14:paraId="5FDD8C0E" w14:textId="77777777" w:rsidR="000A0E9D" w:rsidRPr="000A0E9D" w:rsidRDefault="000A0E9D" w:rsidP="000A0E9D">
      <w:pPr>
        <w:tabs>
          <w:tab w:val="num" w:pos="567"/>
        </w:tabs>
        <w:ind w:left="426" w:hanging="426"/>
        <w:rPr>
          <w:b/>
          <w:sz w:val="22"/>
          <w:szCs w:val="22"/>
          <w:lang w:val="en-GB"/>
        </w:rPr>
      </w:pPr>
      <w:r w:rsidRPr="000A0E9D">
        <w:rPr>
          <w:b/>
          <w:sz w:val="22"/>
          <w:szCs w:val="22"/>
          <w:lang w:val="en-GB"/>
        </w:rPr>
        <w:t>Programme title</w:t>
      </w:r>
    </w:p>
    <w:p w14:paraId="5152E6AD" w14:textId="77777777" w:rsidR="000A0E9D" w:rsidRPr="000A0E9D" w:rsidRDefault="000A0E9D" w:rsidP="000A0E9D">
      <w:pPr>
        <w:ind w:left="426"/>
        <w:rPr>
          <w:sz w:val="22"/>
          <w:szCs w:val="22"/>
          <w:lang w:val="en-GB"/>
        </w:rPr>
      </w:pPr>
      <w:r w:rsidRPr="000A0E9D">
        <w:rPr>
          <w:sz w:val="22"/>
          <w:szCs w:val="22"/>
          <w:lang w:val="en-GB"/>
        </w:rPr>
        <w:t>INTRA-ACP PROJECT</w:t>
      </w:r>
    </w:p>
    <w:p w14:paraId="74686E3C" w14:textId="77777777" w:rsidR="000A0E9D" w:rsidRPr="000A0E9D" w:rsidRDefault="000A0E9D" w:rsidP="000A0E9D">
      <w:pPr>
        <w:tabs>
          <w:tab w:val="num" w:pos="567"/>
        </w:tabs>
        <w:ind w:left="426" w:hanging="426"/>
        <w:rPr>
          <w:b/>
          <w:sz w:val="22"/>
          <w:szCs w:val="22"/>
          <w:lang w:val="fr-FR"/>
        </w:rPr>
      </w:pPr>
      <w:r w:rsidRPr="000A0E9D">
        <w:rPr>
          <w:b/>
          <w:sz w:val="22"/>
          <w:szCs w:val="22"/>
          <w:lang w:val="en-GB"/>
        </w:rPr>
        <w:t>Financing</w:t>
      </w:r>
    </w:p>
    <w:p w14:paraId="6559E982" w14:textId="77777777" w:rsidR="000A0E9D" w:rsidRPr="000A0E9D" w:rsidRDefault="000A0E9D" w:rsidP="000A0E9D">
      <w:pPr>
        <w:ind w:left="426" w:right="360"/>
        <w:rPr>
          <w:sz w:val="22"/>
          <w:szCs w:val="22"/>
          <w:lang w:val="en-GB"/>
        </w:rPr>
      </w:pPr>
      <w:r w:rsidRPr="000A0E9D">
        <w:rPr>
          <w:sz w:val="22"/>
          <w:szCs w:val="22"/>
          <w:lang w:val="en-GB"/>
        </w:rPr>
        <w:t>European Development Fund</w:t>
      </w:r>
    </w:p>
    <w:p w14:paraId="456007DA" w14:textId="77777777" w:rsidR="000A0E9D" w:rsidRPr="000A0E9D" w:rsidRDefault="000A0E9D" w:rsidP="000A0E9D">
      <w:pPr>
        <w:tabs>
          <w:tab w:val="num" w:pos="567"/>
        </w:tabs>
        <w:ind w:left="426" w:hanging="426"/>
        <w:rPr>
          <w:b/>
          <w:sz w:val="22"/>
          <w:szCs w:val="22"/>
          <w:lang w:val="en-GB"/>
        </w:rPr>
      </w:pPr>
      <w:r w:rsidRPr="000A0E9D">
        <w:rPr>
          <w:b/>
          <w:sz w:val="22"/>
          <w:szCs w:val="22"/>
          <w:lang w:val="en-GB"/>
        </w:rPr>
        <w:t>Eligibility and rules of origin</w:t>
      </w:r>
    </w:p>
    <w:p w14:paraId="101A180E" w14:textId="77777777" w:rsidR="000A0E9D" w:rsidRPr="000A0E9D" w:rsidRDefault="000A0E9D" w:rsidP="000A0E9D">
      <w:pPr>
        <w:spacing w:before="0" w:after="120"/>
        <w:ind w:left="426"/>
        <w:jc w:val="both"/>
        <w:rPr>
          <w:sz w:val="22"/>
          <w:szCs w:val="22"/>
          <w:lang w:val="en-GB"/>
        </w:rPr>
      </w:pPr>
      <w:r w:rsidRPr="000A0E9D">
        <w:rPr>
          <w:sz w:val="22"/>
          <w:szCs w:val="22"/>
          <w:lang w:val="en-GB"/>
        </w:rPr>
        <w:t>10</w:t>
      </w:r>
      <w:r w:rsidRPr="000A0E9D">
        <w:rPr>
          <w:sz w:val="22"/>
          <w:szCs w:val="22"/>
          <w:vertAlign w:val="superscript"/>
          <w:lang w:val="en-GB"/>
        </w:rPr>
        <w:t>th</w:t>
      </w:r>
      <w:r w:rsidRPr="000A0E9D">
        <w:rPr>
          <w:sz w:val="22"/>
          <w:szCs w:val="22"/>
          <w:lang w:val="en-GB"/>
        </w:rPr>
        <w:t xml:space="preserve"> EDF/11</w:t>
      </w:r>
      <w:r w:rsidRPr="000A0E9D">
        <w:rPr>
          <w:sz w:val="22"/>
          <w:szCs w:val="22"/>
          <w:vertAlign w:val="superscript"/>
          <w:lang w:val="en-GB"/>
        </w:rPr>
        <w:t>th</w:t>
      </w:r>
      <w:r w:rsidRPr="000A0E9D">
        <w:rPr>
          <w:sz w:val="22"/>
          <w:szCs w:val="22"/>
          <w:lang w:val="en-GB"/>
        </w:rPr>
        <w:t xml:space="preserve"> EDF: </w:t>
      </w:r>
    </w:p>
    <w:p w14:paraId="54198D1A" w14:textId="77777777" w:rsidR="000A0E9D" w:rsidRPr="000A0E9D" w:rsidRDefault="000A0E9D" w:rsidP="000A0E9D">
      <w:pPr>
        <w:widowControl/>
        <w:spacing w:before="0" w:after="120"/>
        <w:ind w:left="426"/>
        <w:jc w:val="both"/>
        <w:rPr>
          <w:sz w:val="22"/>
          <w:szCs w:val="22"/>
          <w:lang w:val="en-GB"/>
        </w:rPr>
      </w:pPr>
      <w:r w:rsidRPr="000A0E9D">
        <w:rPr>
          <w:sz w:val="22"/>
          <w:szCs w:val="22"/>
          <w:lang w:val="en-GB"/>
        </w:rPr>
        <w:t xml:space="preserve">Participation in tendering is open on equal terms to all natural and legal persons (participating either individually or in a grouping – consortium – of candidates/tenderers) which are established in one of the Member States of the European Union, ACP States or in a country or territory authorised by the ACP-EC Partnership Agreement under which the contract is financed. Participation is also open to international organisations. </w:t>
      </w:r>
    </w:p>
    <w:p w14:paraId="73470B3D" w14:textId="77777777" w:rsidR="000A0E9D" w:rsidRPr="000A0E9D" w:rsidRDefault="000A0E9D" w:rsidP="000A0E9D">
      <w:pPr>
        <w:widowControl/>
        <w:spacing w:before="0" w:after="120"/>
        <w:ind w:left="425" w:right="284"/>
        <w:jc w:val="both"/>
        <w:rPr>
          <w:sz w:val="22"/>
          <w:szCs w:val="22"/>
          <w:lang w:val="en-GB"/>
        </w:rPr>
      </w:pPr>
      <w:r w:rsidRPr="000A0E9D">
        <w:rPr>
          <w:sz w:val="22"/>
          <w:szCs w:val="22"/>
          <w:lang w:val="en-GB"/>
        </w:rPr>
        <w:t>All supplies under this contract must originate in one or more of these countries.</w:t>
      </w:r>
    </w:p>
    <w:p w14:paraId="0787197A" w14:textId="77777777" w:rsidR="000A0E9D" w:rsidRPr="000A0E9D" w:rsidRDefault="000A0E9D" w:rsidP="000A0E9D">
      <w:pPr>
        <w:tabs>
          <w:tab w:val="num" w:pos="567"/>
        </w:tabs>
        <w:ind w:left="426" w:hanging="426"/>
        <w:rPr>
          <w:b/>
          <w:sz w:val="22"/>
          <w:szCs w:val="22"/>
          <w:lang w:val="en-GB"/>
        </w:rPr>
      </w:pPr>
      <w:r w:rsidRPr="000A0E9D">
        <w:rPr>
          <w:b/>
          <w:sz w:val="22"/>
          <w:szCs w:val="22"/>
          <w:lang w:val="en-GB"/>
        </w:rPr>
        <w:lastRenderedPageBreak/>
        <w:t xml:space="preserve">Candidature </w:t>
      </w:r>
    </w:p>
    <w:p w14:paraId="64E9099A" w14:textId="77777777" w:rsidR="000A0E9D" w:rsidRPr="000A0E9D" w:rsidRDefault="000A0E9D" w:rsidP="000A0E9D">
      <w:pPr>
        <w:ind w:left="426"/>
        <w:jc w:val="both"/>
        <w:rPr>
          <w:sz w:val="22"/>
          <w:szCs w:val="22"/>
          <w:lang w:val="en-GB"/>
        </w:rPr>
      </w:pPr>
      <w:r w:rsidRPr="000A0E9D">
        <w:rPr>
          <w:sz w:val="22"/>
          <w:szCs w:val="22"/>
          <w:lang w:val="en-GB"/>
        </w:rPr>
        <w:t>All eligible natural and legal persons (as per item 4 above)</w:t>
      </w:r>
      <w:r w:rsidRPr="000A0E9D">
        <w:rPr>
          <w:b/>
          <w:sz w:val="22"/>
          <w:szCs w:val="22"/>
          <w:lang w:val="en-GB"/>
        </w:rPr>
        <w:t xml:space="preserve"> </w:t>
      </w:r>
      <w:r w:rsidRPr="000A0E9D">
        <w:rPr>
          <w:sz w:val="22"/>
          <w:szCs w:val="22"/>
          <w:lang w:val="en-GB"/>
        </w:rPr>
        <w:t>or groupings of such persons (consortia) may apply.</w:t>
      </w:r>
    </w:p>
    <w:p w14:paraId="5B224032" w14:textId="77777777" w:rsidR="000A0E9D" w:rsidRPr="000A0E9D" w:rsidRDefault="000A0E9D" w:rsidP="000A0E9D">
      <w:pPr>
        <w:ind w:left="426"/>
        <w:jc w:val="both"/>
        <w:rPr>
          <w:sz w:val="22"/>
          <w:szCs w:val="22"/>
          <w:lang w:val="en-GB"/>
        </w:rPr>
      </w:pPr>
      <w:r w:rsidRPr="000A0E9D">
        <w:rPr>
          <w:sz w:val="22"/>
          <w:szCs w:val="22"/>
          <w:lang w:val="en-GB"/>
        </w:rPr>
        <w:t>A consortium may be a permanent, legally-established grouping or a grouping which has been constituted informally for a specific tender procedure. All partners of a consortium (i.e., the leader and all other partners) are jointly and severally liable to the contracting authority.</w:t>
      </w:r>
    </w:p>
    <w:p w14:paraId="4C05A38B" w14:textId="77777777" w:rsidR="000A0E9D" w:rsidRPr="000A0E9D" w:rsidRDefault="000A0E9D" w:rsidP="000A0E9D">
      <w:pPr>
        <w:ind w:left="426"/>
        <w:jc w:val="both"/>
        <w:rPr>
          <w:sz w:val="22"/>
          <w:szCs w:val="22"/>
          <w:lang w:val="en-GB"/>
        </w:rPr>
      </w:pPr>
      <w:r w:rsidRPr="000A0E9D">
        <w:rPr>
          <w:sz w:val="22"/>
          <w:szCs w:val="22"/>
          <w:lang w:val="en-GB"/>
        </w:rPr>
        <w:t xml:space="preserve">The participation of an ineligible natural or legal person will result in the automatic exclusion of that person. In particular, if that ineligible person belongs to a consortium, the whole consortium will be excluded. </w:t>
      </w:r>
    </w:p>
    <w:p w14:paraId="0F5FDC1F" w14:textId="77777777" w:rsidR="000A0E9D" w:rsidRPr="000A0E9D" w:rsidRDefault="000A0E9D" w:rsidP="000A0E9D">
      <w:pPr>
        <w:ind w:left="426"/>
        <w:jc w:val="both"/>
        <w:rPr>
          <w:sz w:val="22"/>
          <w:szCs w:val="22"/>
          <w:lang w:val="en-GB"/>
        </w:rPr>
      </w:pPr>
    </w:p>
    <w:p w14:paraId="6B8C55D2" w14:textId="77777777" w:rsidR="000A0E9D" w:rsidRPr="000A0E9D" w:rsidRDefault="000A0E9D" w:rsidP="000A0E9D">
      <w:pPr>
        <w:ind w:left="426"/>
        <w:jc w:val="both"/>
        <w:rPr>
          <w:sz w:val="22"/>
          <w:szCs w:val="22"/>
          <w:lang w:val="en-GB"/>
        </w:rPr>
      </w:pPr>
    </w:p>
    <w:p w14:paraId="01C53ADA" w14:textId="77777777" w:rsidR="000A0E9D" w:rsidRPr="000A0E9D" w:rsidRDefault="000A0E9D" w:rsidP="000A0E9D">
      <w:pPr>
        <w:tabs>
          <w:tab w:val="num" w:pos="567"/>
        </w:tabs>
        <w:ind w:left="426" w:hanging="426"/>
        <w:rPr>
          <w:b/>
          <w:sz w:val="22"/>
          <w:szCs w:val="22"/>
          <w:lang w:val="en-GB"/>
        </w:rPr>
      </w:pPr>
      <w:r w:rsidRPr="000A0E9D">
        <w:rPr>
          <w:b/>
          <w:sz w:val="22"/>
          <w:szCs w:val="22"/>
          <w:lang w:val="en-GB"/>
        </w:rPr>
        <w:t>Number of applications or tenders</w:t>
      </w:r>
    </w:p>
    <w:p w14:paraId="066F5D7E" w14:textId="77777777" w:rsidR="000A0E9D" w:rsidRPr="000A0E9D" w:rsidRDefault="000A0E9D" w:rsidP="000A0E9D">
      <w:pPr>
        <w:ind w:left="426"/>
        <w:jc w:val="both"/>
        <w:rPr>
          <w:sz w:val="22"/>
          <w:szCs w:val="22"/>
          <w:lang w:val="en-GB"/>
        </w:rPr>
      </w:pPr>
      <w:r w:rsidRPr="000A0E9D">
        <w:rPr>
          <w:sz w:val="22"/>
          <w:szCs w:val="22"/>
          <w:lang w:val="en-GB"/>
        </w:rPr>
        <w:t xml:space="preserve">No more than one application or tender can be submitted by a natural or legal person whatever the form of participation (as an individual legal entity or as leader or partner of a consortium submitting an application/tender). In the event that a natural or legal person submits more than one application or tender, all applications or tenders in which that person has participated will be excluded. </w:t>
      </w:r>
    </w:p>
    <w:p w14:paraId="79626943" w14:textId="77777777" w:rsidR="000A0E9D" w:rsidRPr="000A0E9D" w:rsidRDefault="000A0E9D" w:rsidP="000A0E9D">
      <w:pPr>
        <w:ind w:left="426" w:right="-48"/>
        <w:jc w:val="both"/>
        <w:rPr>
          <w:sz w:val="22"/>
          <w:szCs w:val="22"/>
          <w:lang w:val="en-GB"/>
        </w:rPr>
      </w:pPr>
      <w:r w:rsidRPr="000A0E9D">
        <w:rPr>
          <w:sz w:val="22"/>
          <w:szCs w:val="22"/>
          <w:lang w:val="en-GB"/>
        </w:rPr>
        <w:t>In case of lots, the candidates or tenderers may submit only one application or tender per lot. Contracts will be awarded lot by lot and each lot will form a separate contract.</w:t>
      </w:r>
    </w:p>
    <w:p w14:paraId="4F6D32E7" w14:textId="77777777" w:rsidR="000A0E9D" w:rsidRPr="000A0E9D" w:rsidRDefault="000A0E9D" w:rsidP="000A0E9D">
      <w:pPr>
        <w:ind w:left="426" w:right="-48"/>
        <w:jc w:val="both"/>
        <w:rPr>
          <w:sz w:val="22"/>
          <w:szCs w:val="22"/>
          <w:lang w:val="en-GB"/>
        </w:rPr>
      </w:pPr>
      <w:r w:rsidRPr="000A0E9D">
        <w:rPr>
          <w:sz w:val="22"/>
          <w:szCs w:val="22"/>
          <w:lang w:val="en-GB"/>
        </w:rPr>
        <w:t xml:space="preserve">Tenderers </w:t>
      </w:r>
      <w:r w:rsidRPr="000A0E9D">
        <w:rPr>
          <w:b/>
          <w:bCs/>
          <w:sz w:val="22"/>
          <w:szCs w:val="22"/>
          <w:lang w:val="en-GB"/>
        </w:rPr>
        <w:t>may not</w:t>
      </w:r>
      <w:r w:rsidRPr="000A0E9D">
        <w:rPr>
          <w:sz w:val="22"/>
          <w:szCs w:val="22"/>
          <w:lang w:val="en-GB"/>
        </w:rPr>
        <w:t xml:space="preserve"> submit a tender for a variant solution in addition to their tender for the works or supplies required in the tender dossier. </w:t>
      </w:r>
    </w:p>
    <w:p w14:paraId="2B46B77D" w14:textId="77777777" w:rsidR="000A0E9D" w:rsidRPr="000A0E9D" w:rsidRDefault="000A0E9D" w:rsidP="000A0E9D">
      <w:pPr>
        <w:ind w:left="426" w:right="-48"/>
        <w:jc w:val="both"/>
        <w:rPr>
          <w:sz w:val="22"/>
          <w:szCs w:val="22"/>
          <w:lang w:val="en-GB"/>
        </w:rPr>
      </w:pPr>
      <w:r w:rsidRPr="000A0E9D">
        <w:rPr>
          <w:sz w:val="22"/>
          <w:szCs w:val="22"/>
          <w:lang w:val="en-GB"/>
        </w:rPr>
        <w:t>Any tenderer may state in its tender that it would offer a discount in the event that its tender is accepted for more than one lot.</w:t>
      </w:r>
    </w:p>
    <w:p w14:paraId="52F9FBA5" w14:textId="77777777" w:rsidR="000A0E9D" w:rsidRPr="000A0E9D" w:rsidRDefault="000A0E9D" w:rsidP="000A0E9D">
      <w:pPr>
        <w:ind w:left="426" w:right="-48"/>
        <w:jc w:val="both"/>
        <w:rPr>
          <w:sz w:val="22"/>
          <w:szCs w:val="22"/>
          <w:lang w:val="en-GB"/>
        </w:rPr>
      </w:pPr>
    </w:p>
    <w:p w14:paraId="5B37BC7C" w14:textId="77777777" w:rsidR="000A0E9D" w:rsidRPr="000A0E9D" w:rsidRDefault="000A0E9D" w:rsidP="000A0E9D">
      <w:pPr>
        <w:tabs>
          <w:tab w:val="num" w:pos="567"/>
        </w:tabs>
        <w:ind w:left="426" w:hanging="426"/>
        <w:rPr>
          <w:b/>
          <w:sz w:val="22"/>
          <w:szCs w:val="22"/>
          <w:lang w:val="en-GB"/>
        </w:rPr>
      </w:pPr>
      <w:r w:rsidRPr="000A0E9D">
        <w:rPr>
          <w:b/>
          <w:sz w:val="22"/>
          <w:szCs w:val="22"/>
          <w:lang w:val="en-GB"/>
        </w:rPr>
        <w:t>Performance guarantee</w:t>
      </w:r>
    </w:p>
    <w:p w14:paraId="2B876517" w14:textId="68424046" w:rsidR="000A0E9D" w:rsidRPr="000A0E9D" w:rsidRDefault="000A0E9D" w:rsidP="00AC2433">
      <w:pPr>
        <w:ind w:left="426"/>
        <w:jc w:val="both"/>
        <w:rPr>
          <w:sz w:val="22"/>
          <w:szCs w:val="22"/>
          <w:lang w:val="en-GB"/>
        </w:rPr>
      </w:pPr>
      <w:r w:rsidRPr="000A0E9D">
        <w:rPr>
          <w:sz w:val="22"/>
          <w:szCs w:val="22"/>
          <w:lang w:val="en-GB"/>
        </w:rPr>
        <w:t xml:space="preserve">The successful tenderer will be asked to provide a performance guarantee of </w:t>
      </w:r>
      <w:r w:rsidRPr="000A0E9D">
        <w:rPr>
          <w:b/>
          <w:bCs/>
          <w:sz w:val="22"/>
          <w:szCs w:val="22"/>
          <w:lang w:val="en-GB"/>
        </w:rPr>
        <w:t>5%</w:t>
      </w:r>
      <w:r w:rsidRPr="000A0E9D">
        <w:rPr>
          <w:sz w:val="22"/>
          <w:szCs w:val="22"/>
          <w:lang w:val="en-GB"/>
        </w:rPr>
        <w:t xml:space="preserve"> of the amount of the contract at the signing of the contract. This guarantee must be provided together with the return of the counter signed contract no later than 30 days after the tenderer receives the contract signed by the contracting authority. If the selected tenderer fails to provide such a guarantee within this period, the contract will be void and a new contract may be drawn up and sent to the tenderer which has submitted the next cheapest compliant tender.</w:t>
      </w:r>
    </w:p>
    <w:p w14:paraId="043DF87A" w14:textId="77777777" w:rsidR="000A0E9D" w:rsidRPr="000A0E9D" w:rsidRDefault="000A0E9D" w:rsidP="000A0E9D">
      <w:pPr>
        <w:tabs>
          <w:tab w:val="num" w:pos="567"/>
        </w:tabs>
        <w:ind w:left="426" w:hanging="426"/>
        <w:rPr>
          <w:b/>
          <w:sz w:val="22"/>
          <w:szCs w:val="22"/>
          <w:lang w:val="en-GB"/>
        </w:rPr>
      </w:pPr>
      <w:r w:rsidRPr="000A0E9D">
        <w:rPr>
          <w:b/>
          <w:sz w:val="22"/>
          <w:szCs w:val="22"/>
          <w:lang w:val="en-GB"/>
        </w:rPr>
        <w:t>Information meeting and/or site visit</w:t>
      </w:r>
    </w:p>
    <w:p w14:paraId="587220FB" w14:textId="77777777" w:rsidR="000A0E9D" w:rsidRPr="000A0E9D" w:rsidRDefault="000A0E9D" w:rsidP="000A0E9D">
      <w:pPr>
        <w:ind w:left="426" w:right="360"/>
        <w:rPr>
          <w:sz w:val="22"/>
          <w:szCs w:val="22"/>
          <w:lang w:val="en-GB"/>
        </w:rPr>
      </w:pPr>
      <w:r w:rsidRPr="000A0E9D">
        <w:rPr>
          <w:sz w:val="22"/>
          <w:szCs w:val="22"/>
          <w:lang w:val="en-GB"/>
        </w:rPr>
        <w:t>No information meeting is planned</w:t>
      </w:r>
    </w:p>
    <w:p w14:paraId="2D683405" w14:textId="77777777" w:rsidR="000A0E9D" w:rsidRPr="000A0E9D" w:rsidRDefault="000A0E9D" w:rsidP="000A0E9D">
      <w:pPr>
        <w:tabs>
          <w:tab w:val="num" w:pos="567"/>
        </w:tabs>
        <w:ind w:left="426" w:hanging="426"/>
        <w:jc w:val="both"/>
        <w:rPr>
          <w:b/>
          <w:sz w:val="22"/>
          <w:szCs w:val="22"/>
          <w:lang w:val="en-GB"/>
        </w:rPr>
      </w:pPr>
      <w:r w:rsidRPr="000A0E9D">
        <w:rPr>
          <w:b/>
          <w:sz w:val="22"/>
          <w:szCs w:val="22"/>
          <w:lang w:val="en-GB"/>
        </w:rPr>
        <w:t>Tender validity</w:t>
      </w:r>
    </w:p>
    <w:p w14:paraId="11A080CE" w14:textId="77777777" w:rsidR="000A0E9D" w:rsidRPr="000A0E9D" w:rsidRDefault="000A0E9D" w:rsidP="000A0E9D">
      <w:pPr>
        <w:ind w:left="426"/>
        <w:jc w:val="both"/>
        <w:rPr>
          <w:sz w:val="22"/>
          <w:szCs w:val="22"/>
          <w:lang w:val="en-GB"/>
        </w:rPr>
      </w:pPr>
      <w:r w:rsidRPr="000A0E9D">
        <w:rPr>
          <w:sz w:val="22"/>
          <w:szCs w:val="22"/>
          <w:lang w:val="en-GB"/>
        </w:rPr>
        <w:t>Tenders must remain valid for a period of 3 months after the deadline for submission of tenders. In exceptional circumstances, the contracting authority may, before the validity period expires, request that tenderers extend the validity of tenders for a specific period.</w:t>
      </w:r>
    </w:p>
    <w:p w14:paraId="74B85E26" w14:textId="50A89997" w:rsidR="00A401B7" w:rsidRDefault="00A401B7" w:rsidP="000A0E9D">
      <w:pPr>
        <w:tabs>
          <w:tab w:val="num" w:pos="567"/>
        </w:tabs>
        <w:ind w:left="426" w:hanging="426"/>
        <w:rPr>
          <w:b/>
          <w:sz w:val="22"/>
          <w:szCs w:val="22"/>
          <w:lang w:val="en-GB"/>
        </w:rPr>
      </w:pPr>
    </w:p>
    <w:p w14:paraId="6F191FBA" w14:textId="77777777" w:rsidR="00AC2433" w:rsidRDefault="00AC2433" w:rsidP="000A0E9D">
      <w:pPr>
        <w:tabs>
          <w:tab w:val="num" w:pos="567"/>
        </w:tabs>
        <w:ind w:left="426" w:hanging="426"/>
        <w:rPr>
          <w:b/>
          <w:sz w:val="22"/>
          <w:szCs w:val="22"/>
          <w:lang w:val="en-GB"/>
        </w:rPr>
      </w:pPr>
    </w:p>
    <w:p w14:paraId="557A2245" w14:textId="0BC737E7" w:rsidR="000A0E9D" w:rsidRPr="000A0E9D" w:rsidRDefault="000A0E9D" w:rsidP="000A0E9D">
      <w:pPr>
        <w:tabs>
          <w:tab w:val="num" w:pos="567"/>
        </w:tabs>
        <w:ind w:left="426" w:hanging="426"/>
        <w:rPr>
          <w:b/>
          <w:sz w:val="22"/>
          <w:szCs w:val="22"/>
          <w:lang w:val="en-GB"/>
        </w:rPr>
      </w:pPr>
      <w:r w:rsidRPr="000A0E9D">
        <w:rPr>
          <w:b/>
          <w:sz w:val="22"/>
          <w:szCs w:val="22"/>
          <w:lang w:val="en-GB"/>
        </w:rPr>
        <w:lastRenderedPageBreak/>
        <w:t>Grounds for exclusion</w:t>
      </w:r>
    </w:p>
    <w:p w14:paraId="49819D30" w14:textId="77777777" w:rsidR="000A0E9D" w:rsidRPr="000A0E9D" w:rsidRDefault="000A0E9D" w:rsidP="000A0E9D">
      <w:pPr>
        <w:ind w:left="426"/>
        <w:jc w:val="both"/>
        <w:rPr>
          <w:b/>
          <w:sz w:val="22"/>
          <w:szCs w:val="22"/>
          <w:lang w:val="en-GB"/>
        </w:rPr>
      </w:pPr>
      <w:r w:rsidRPr="000A0E9D">
        <w:rPr>
          <w:sz w:val="22"/>
          <w:szCs w:val="22"/>
          <w:lang w:val="en-GB"/>
        </w:rPr>
        <w:t xml:space="preserve">Candidates or tenderers must submit a signed declaration, included in the application form or tender form, to the effect that they are not in any of the situations listed in Section 2.6.10.1 of the </w:t>
      </w:r>
      <w:r w:rsidRPr="000A0E9D">
        <w:rPr>
          <w:b/>
          <w:sz w:val="22"/>
          <w:szCs w:val="22"/>
          <w:lang w:val="en-GB"/>
        </w:rPr>
        <w:t xml:space="preserve">practical guide (PRAG). </w:t>
      </w:r>
      <w:r w:rsidRPr="000A0E9D">
        <w:rPr>
          <w:sz w:val="22"/>
          <w:szCs w:val="22"/>
          <w:lang w:val="en-GB"/>
        </w:rPr>
        <w:t>Where the candidate or tenderer intends to rely on capacity providing entities or subcontractor(s), he/she must provide the same declaration signed by this/these entity(ies).</w:t>
      </w:r>
    </w:p>
    <w:p w14:paraId="0C781867" w14:textId="77777777" w:rsidR="000A0E9D" w:rsidRPr="000A0E9D" w:rsidRDefault="000A0E9D" w:rsidP="000A0E9D">
      <w:pPr>
        <w:ind w:left="426" w:right="26"/>
        <w:jc w:val="both"/>
        <w:rPr>
          <w:sz w:val="22"/>
          <w:szCs w:val="22"/>
          <w:lang w:val="en-GB"/>
        </w:rPr>
      </w:pPr>
      <w:r w:rsidRPr="000A0E9D">
        <w:rPr>
          <w:sz w:val="22"/>
          <w:szCs w:val="22"/>
          <w:lang w:val="en-GB"/>
        </w:rPr>
        <w:t>Candidates or tenderers included in the lists of EU restrictive measures (see Section 2.4. of the PRAG) at the moment of the award decision cannot be awarded the contract.</w:t>
      </w:r>
    </w:p>
    <w:p w14:paraId="764CD259" w14:textId="77777777" w:rsidR="000A0E9D" w:rsidRPr="000A0E9D" w:rsidRDefault="000A0E9D" w:rsidP="000A0E9D">
      <w:pPr>
        <w:tabs>
          <w:tab w:val="num" w:pos="567"/>
        </w:tabs>
        <w:ind w:left="426" w:hanging="426"/>
        <w:rPr>
          <w:b/>
          <w:sz w:val="22"/>
          <w:szCs w:val="22"/>
          <w:lang w:val="en-GB"/>
        </w:rPr>
      </w:pPr>
      <w:r w:rsidRPr="000A0E9D">
        <w:rPr>
          <w:b/>
          <w:sz w:val="22"/>
          <w:szCs w:val="22"/>
          <w:lang w:val="en-GB"/>
        </w:rPr>
        <w:t xml:space="preserve">Sub-contracting </w:t>
      </w:r>
    </w:p>
    <w:p w14:paraId="7C2EA39A" w14:textId="77777777" w:rsidR="000A0E9D" w:rsidRPr="000A0E9D" w:rsidRDefault="000A0E9D" w:rsidP="000A0E9D">
      <w:pPr>
        <w:widowControl/>
        <w:autoSpaceDE w:val="0"/>
        <w:autoSpaceDN w:val="0"/>
        <w:adjustRightInd w:val="0"/>
        <w:spacing w:before="0" w:after="120"/>
        <w:ind w:left="426"/>
        <w:jc w:val="both"/>
        <w:rPr>
          <w:rFonts w:ascii="Minion Pro" w:hAnsi="Minion Pro" w:cs="Minion Pro"/>
          <w:snapToGrid/>
          <w:color w:val="000000"/>
          <w:sz w:val="22"/>
          <w:szCs w:val="22"/>
          <w:lang w:val="en-GB" w:eastAsia="en-GB"/>
        </w:rPr>
      </w:pPr>
      <w:r w:rsidRPr="000A0E9D">
        <w:rPr>
          <w:rFonts w:ascii="Minion Pro" w:hAnsi="Minion Pro" w:cs="Minion Pro"/>
          <w:snapToGrid/>
          <w:color w:val="000000"/>
          <w:sz w:val="22"/>
          <w:szCs w:val="22"/>
          <w:lang w:val="en-GB" w:eastAsia="en-GB"/>
        </w:rPr>
        <w:t xml:space="preserve">Sub-contracting is Not- Allowed. </w:t>
      </w:r>
    </w:p>
    <w:p w14:paraId="24475424" w14:textId="77777777" w:rsidR="000A0E9D" w:rsidRPr="000A0E9D" w:rsidRDefault="000A0E9D" w:rsidP="000A0E9D">
      <w:pPr>
        <w:widowControl/>
        <w:autoSpaceDE w:val="0"/>
        <w:autoSpaceDN w:val="0"/>
        <w:adjustRightInd w:val="0"/>
        <w:spacing w:before="0" w:after="120"/>
        <w:jc w:val="both"/>
        <w:rPr>
          <w:snapToGrid/>
          <w:color w:val="000000"/>
          <w:sz w:val="22"/>
          <w:szCs w:val="22"/>
          <w:lang w:val="en-GB" w:eastAsia="en-GB"/>
        </w:rPr>
      </w:pPr>
    </w:p>
    <w:p w14:paraId="5F73B308" w14:textId="77777777" w:rsidR="000A0E9D" w:rsidRPr="000A0E9D" w:rsidRDefault="000A0E9D" w:rsidP="000A0E9D">
      <w:pPr>
        <w:tabs>
          <w:tab w:val="num" w:pos="567"/>
        </w:tabs>
        <w:ind w:left="426" w:hanging="426"/>
        <w:rPr>
          <w:b/>
          <w:sz w:val="22"/>
          <w:szCs w:val="22"/>
          <w:lang w:val="en-GB"/>
        </w:rPr>
      </w:pPr>
      <w:r w:rsidRPr="000A0E9D">
        <w:rPr>
          <w:b/>
          <w:sz w:val="22"/>
          <w:szCs w:val="22"/>
          <w:lang w:val="en-GB"/>
        </w:rPr>
        <w:t xml:space="preserve">Provisional commencement date of the contract </w:t>
      </w:r>
    </w:p>
    <w:p w14:paraId="74A81E75" w14:textId="3CA6A5C0" w:rsidR="000A0E9D" w:rsidRPr="000A0E9D" w:rsidRDefault="00380126" w:rsidP="000A0E9D">
      <w:pPr>
        <w:ind w:left="426"/>
        <w:rPr>
          <w:sz w:val="22"/>
          <w:szCs w:val="22"/>
          <w:lang w:val="en-GB"/>
        </w:rPr>
      </w:pPr>
      <w:r>
        <w:rPr>
          <w:sz w:val="22"/>
          <w:szCs w:val="22"/>
          <w:lang w:val="en-GB"/>
        </w:rPr>
        <w:t>29</w:t>
      </w:r>
      <w:r w:rsidR="000A0E9D" w:rsidRPr="000A0E9D">
        <w:rPr>
          <w:sz w:val="22"/>
          <w:szCs w:val="22"/>
          <w:lang w:val="en-GB"/>
        </w:rPr>
        <w:t xml:space="preserve"> April 2022</w:t>
      </w:r>
    </w:p>
    <w:p w14:paraId="70A56590" w14:textId="77777777" w:rsidR="000A0E9D" w:rsidRPr="000A0E9D" w:rsidRDefault="000A0E9D" w:rsidP="000A0E9D">
      <w:pPr>
        <w:tabs>
          <w:tab w:val="num" w:pos="567"/>
        </w:tabs>
        <w:ind w:left="426" w:hanging="426"/>
        <w:rPr>
          <w:b/>
          <w:sz w:val="22"/>
          <w:szCs w:val="22"/>
          <w:lang w:val="en-GB"/>
        </w:rPr>
      </w:pPr>
      <w:r w:rsidRPr="000A0E9D">
        <w:rPr>
          <w:b/>
          <w:sz w:val="22"/>
          <w:szCs w:val="22"/>
          <w:lang w:val="en-GB"/>
        </w:rPr>
        <w:t>P</w:t>
      </w:r>
      <w:r w:rsidRPr="000A0E9D">
        <w:rPr>
          <w:b/>
          <w:lang w:val="en-GB"/>
        </w:rPr>
        <w:t>eriod of implementation of tasks</w:t>
      </w:r>
    </w:p>
    <w:p w14:paraId="14363748" w14:textId="77777777" w:rsidR="000A0E9D" w:rsidRPr="000A0E9D" w:rsidRDefault="000A0E9D" w:rsidP="000A0E9D">
      <w:pPr>
        <w:ind w:left="426"/>
        <w:rPr>
          <w:sz w:val="22"/>
          <w:szCs w:val="22"/>
          <w:lang w:val="en-GB"/>
        </w:rPr>
      </w:pPr>
      <w:r w:rsidRPr="000A0E9D">
        <w:rPr>
          <w:sz w:val="22"/>
          <w:szCs w:val="22"/>
          <w:lang w:val="en-GB"/>
        </w:rPr>
        <w:t>90 days</w:t>
      </w:r>
    </w:p>
    <w:p w14:paraId="7EF38345" w14:textId="77777777" w:rsidR="000A0E9D" w:rsidRPr="000A0E9D" w:rsidRDefault="000A0E9D" w:rsidP="000A0E9D">
      <w:pPr>
        <w:ind w:left="426"/>
        <w:rPr>
          <w:sz w:val="22"/>
          <w:szCs w:val="22"/>
          <w:lang w:val="en-GB"/>
        </w:rPr>
      </w:pPr>
    </w:p>
    <w:p w14:paraId="5EFFDE28" w14:textId="77777777" w:rsidR="000A0E9D" w:rsidRPr="000A0E9D" w:rsidRDefault="000A0E9D" w:rsidP="000A0E9D">
      <w:pPr>
        <w:keepNext/>
        <w:keepLines/>
        <w:rPr>
          <w:sz w:val="22"/>
          <w:szCs w:val="22"/>
          <w:lang w:val="en-GB"/>
        </w:rPr>
      </w:pPr>
    </w:p>
    <w:p w14:paraId="18FA9A8C" w14:textId="77777777" w:rsidR="000A0E9D" w:rsidRPr="000A0E9D" w:rsidRDefault="000A0E9D" w:rsidP="000A0E9D">
      <w:pPr>
        <w:keepNext/>
        <w:keepLines/>
        <w:rPr>
          <w:sz w:val="22"/>
          <w:szCs w:val="22"/>
          <w:lang w:val="en-GB"/>
        </w:rPr>
      </w:pPr>
      <w:r w:rsidRPr="000A0E9D">
        <w:rPr>
          <w:noProof/>
          <w:snapToGrid/>
          <w:sz w:val="22"/>
          <w:szCs w:val="22"/>
          <w:lang w:val="en-IE" w:eastAsia="en-IE"/>
        </w:rPr>
        <mc:AlternateContent>
          <mc:Choice Requires="wps">
            <w:drawing>
              <wp:anchor distT="0" distB="0" distL="114300" distR="114300" simplePos="0" relativeHeight="251661312" behindDoc="0" locked="0" layoutInCell="0" allowOverlap="1" wp14:anchorId="7076E8F6" wp14:editId="1CD41769">
                <wp:simplePos x="0" y="0"/>
                <wp:positionH relativeFrom="column">
                  <wp:posOffset>0</wp:posOffset>
                </wp:positionH>
                <wp:positionV relativeFrom="paragraph">
                  <wp:posOffset>152400</wp:posOffset>
                </wp:positionV>
                <wp:extent cx="5943600" cy="635"/>
                <wp:effectExtent l="19050" t="28575" r="19050" b="1841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85F74"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" o:allowincell="f" strokecolor="#d4d4d4" strokeweight="1.75pt">
                <v:shadow on="t" origin=".5,-.5" offset="0,-1pt"/>
              </v:line>
            </w:pict>
          </mc:Fallback>
        </mc:AlternateContent>
      </w:r>
    </w:p>
    <w:p w14:paraId="6107A38E" w14:textId="77777777" w:rsidR="000A0E9D" w:rsidRPr="000A0E9D" w:rsidRDefault="000A0E9D" w:rsidP="000A0E9D">
      <w:pPr>
        <w:keepNext/>
        <w:keepLines/>
        <w:ind w:left="360"/>
        <w:jc w:val="center"/>
        <w:rPr>
          <w:b/>
          <w:sz w:val="22"/>
          <w:szCs w:val="22"/>
          <w:lang w:val="en-GB"/>
        </w:rPr>
      </w:pPr>
      <w:r w:rsidRPr="000A0E9D">
        <w:rPr>
          <w:b/>
          <w:sz w:val="22"/>
          <w:szCs w:val="22"/>
          <w:lang w:val="en-GB"/>
        </w:rPr>
        <w:t>SELECTION AND AWARD CRITERIA</w:t>
      </w:r>
    </w:p>
    <w:p w14:paraId="7D1A6F5A" w14:textId="77777777" w:rsidR="000A0E9D" w:rsidRPr="000A0E9D" w:rsidRDefault="000A0E9D" w:rsidP="000A0E9D">
      <w:pPr>
        <w:tabs>
          <w:tab w:val="num" w:pos="567"/>
        </w:tabs>
        <w:ind w:left="426" w:hanging="426"/>
        <w:rPr>
          <w:b/>
          <w:sz w:val="22"/>
          <w:szCs w:val="22"/>
          <w:lang w:val="en-GB"/>
        </w:rPr>
      </w:pPr>
      <w:r w:rsidRPr="000A0E9D">
        <w:rPr>
          <w:b/>
          <w:sz w:val="22"/>
          <w:szCs w:val="22"/>
          <w:lang w:val="en-GB"/>
        </w:rPr>
        <w:t>Selection criteria</w:t>
      </w:r>
    </w:p>
    <w:p w14:paraId="7A2EB7B1" w14:textId="77777777" w:rsidR="000A0E9D" w:rsidRPr="000A0E9D" w:rsidRDefault="000A0E9D" w:rsidP="000A0E9D">
      <w:pPr>
        <w:widowControl/>
        <w:spacing w:before="0" w:after="120"/>
        <w:ind w:firstLine="480"/>
        <w:jc w:val="both"/>
        <w:rPr>
          <w:bCs/>
          <w:sz w:val="22"/>
          <w:lang w:val="en-GB"/>
        </w:rPr>
      </w:pPr>
      <w:r w:rsidRPr="000A0E9D">
        <w:rPr>
          <w:bCs/>
          <w:sz w:val="22"/>
          <w:lang w:val="en-GB"/>
        </w:rPr>
        <w:t>1) Technical capacity</w:t>
      </w:r>
    </w:p>
    <w:p w14:paraId="6D4A05FF" w14:textId="77777777" w:rsidR="000A0E9D" w:rsidRPr="000A0E9D" w:rsidRDefault="000A0E9D" w:rsidP="000A0E9D">
      <w:pPr>
        <w:widowControl/>
        <w:spacing w:before="0" w:after="120"/>
        <w:ind w:firstLine="480"/>
        <w:jc w:val="both"/>
        <w:rPr>
          <w:bCs/>
          <w:i/>
          <w:sz w:val="22"/>
          <w:lang w:val="en-GB"/>
        </w:rPr>
      </w:pPr>
      <w:r w:rsidRPr="000A0E9D">
        <w:rPr>
          <w:bCs/>
          <w:sz w:val="22"/>
          <w:lang w:val="en-GB"/>
        </w:rPr>
        <w:t>2) Professional capacity</w:t>
      </w:r>
      <w:r w:rsidRPr="000A0E9D">
        <w:rPr>
          <w:bCs/>
          <w:i/>
          <w:sz w:val="22"/>
          <w:lang w:val="en-GB"/>
        </w:rPr>
        <w:t xml:space="preserve"> </w:t>
      </w:r>
    </w:p>
    <w:p w14:paraId="4BD4FBDA" w14:textId="77777777" w:rsidR="000A0E9D" w:rsidRPr="000A0E9D" w:rsidRDefault="000A0E9D" w:rsidP="000A0E9D">
      <w:pPr>
        <w:widowControl/>
        <w:spacing w:before="0" w:after="120"/>
        <w:ind w:firstLine="480"/>
        <w:jc w:val="both"/>
        <w:rPr>
          <w:bCs/>
          <w:sz w:val="22"/>
          <w:lang w:val="en-GB"/>
        </w:rPr>
      </w:pPr>
      <w:r w:rsidRPr="000A0E9D">
        <w:rPr>
          <w:bCs/>
          <w:sz w:val="22"/>
          <w:lang w:val="en-GB"/>
        </w:rPr>
        <w:t>3) Economic and financial capacity</w:t>
      </w:r>
      <w:r w:rsidRPr="000A0E9D">
        <w:rPr>
          <w:bCs/>
          <w:i/>
          <w:sz w:val="22"/>
          <w:lang w:val="en-GB"/>
        </w:rPr>
        <w:t xml:space="preserve"> </w:t>
      </w:r>
    </w:p>
    <w:p w14:paraId="44CEA98B" w14:textId="77777777" w:rsidR="000A0E9D" w:rsidRPr="000A0E9D" w:rsidRDefault="000A0E9D" w:rsidP="000A0E9D">
      <w:pPr>
        <w:ind w:left="1418" w:right="360" w:hanging="283"/>
        <w:jc w:val="both"/>
        <w:rPr>
          <w:sz w:val="22"/>
          <w:szCs w:val="22"/>
          <w:lang w:val="en-GB"/>
        </w:rPr>
      </w:pPr>
    </w:p>
    <w:p w14:paraId="474B210C" w14:textId="77777777" w:rsidR="000A0E9D" w:rsidRPr="000A0E9D" w:rsidRDefault="000A0E9D" w:rsidP="000A0E9D">
      <w:pPr>
        <w:tabs>
          <w:tab w:val="num" w:pos="567"/>
        </w:tabs>
        <w:ind w:left="426" w:hanging="426"/>
        <w:rPr>
          <w:b/>
          <w:sz w:val="22"/>
          <w:szCs w:val="22"/>
          <w:lang w:val="en-GB"/>
        </w:rPr>
      </w:pPr>
      <w:r w:rsidRPr="000A0E9D">
        <w:rPr>
          <w:b/>
          <w:sz w:val="22"/>
          <w:szCs w:val="22"/>
          <w:lang w:val="en-GB"/>
        </w:rPr>
        <w:t>Award criteria</w:t>
      </w:r>
    </w:p>
    <w:p w14:paraId="283FA440" w14:textId="77777777" w:rsidR="000A0E9D" w:rsidRPr="000A0E9D" w:rsidRDefault="000A0E9D" w:rsidP="000A0E9D">
      <w:pPr>
        <w:ind w:left="426" w:right="360"/>
        <w:rPr>
          <w:sz w:val="22"/>
          <w:szCs w:val="22"/>
          <w:lang w:val="en-GB"/>
        </w:rPr>
      </w:pPr>
      <w:bookmarkStart w:id="3" w:name="_Hlk89947358"/>
      <w:r w:rsidRPr="000A0E9D">
        <w:rPr>
          <w:sz w:val="22"/>
          <w:szCs w:val="22"/>
          <w:lang w:val="en-GB"/>
        </w:rPr>
        <w:t>Best price-quality ratio</w:t>
      </w:r>
    </w:p>
    <w:bookmarkEnd w:id="3"/>
    <w:p w14:paraId="2C8CEB64" w14:textId="77777777" w:rsidR="000A0E9D" w:rsidRPr="000A0E9D" w:rsidRDefault="000A0E9D" w:rsidP="000A0E9D">
      <w:pPr>
        <w:ind w:left="426" w:right="360"/>
        <w:rPr>
          <w:sz w:val="22"/>
          <w:szCs w:val="22"/>
          <w:lang w:val="en-GB"/>
        </w:rPr>
      </w:pPr>
    </w:p>
    <w:p w14:paraId="6FC2CE3B" w14:textId="77777777" w:rsidR="00AC2433" w:rsidRDefault="00AC2433" w:rsidP="000A0E9D">
      <w:pPr>
        <w:rPr>
          <w:sz w:val="22"/>
          <w:szCs w:val="22"/>
          <w:lang w:val="en-GB"/>
        </w:rPr>
      </w:pPr>
    </w:p>
    <w:p w14:paraId="72CEC621" w14:textId="77777777" w:rsidR="00AC2433" w:rsidRDefault="00AC2433" w:rsidP="000A0E9D">
      <w:pPr>
        <w:rPr>
          <w:sz w:val="22"/>
          <w:szCs w:val="22"/>
          <w:lang w:val="en-GB"/>
        </w:rPr>
      </w:pPr>
    </w:p>
    <w:p w14:paraId="2165A59E" w14:textId="77777777" w:rsidR="00AC2433" w:rsidRDefault="00AC2433" w:rsidP="000A0E9D">
      <w:pPr>
        <w:rPr>
          <w:sz w:val="22"/>
          <w:szCs w:val="22"/>
          <w:lang w:val="en-GB"/>
        </w:rPr>
      </w:pPr>
    </w:p>
    <w:p w14:paraId="3C647A20" w14:textId="77777777" w:rsidR="00AC2433" w:rsidRDefault="00AC2433" w:rsidP="000A0E9D">
      <w:pPr>
        <w:rPr>
          <w:sz w:val="22"/>
          <w:szCs w:val="22"/>
          <w:lang w:val="en-GB"/>
        </w:rPr>
      </w:pPr>
    </w:p>
    <w:p w14:paraId="2F12355C" w14:textId="77777777" w:rsidR="00AC2433" w:rsidRDefault="00AC2433" w:rsidP="000A0E9D">
      <w:pPr>
        <w:rPr>
          <w:sz w:val="22"/>
          <w:szCs w:val="22"/>
          <w:lang w:val="en-GB"/>
        </w:rPr>
      </w:pPr>
    </w:p>
    <w:p w14:paraId="56EA4C76" w14:textId="77777777" w:rsidR="00AC2433" w:rsidRDefault="00AC2433" w:rsidP="000A0E9D">
      <w:pPr>
        <w:rPr>
          <w:sz w:val="22"/>
          <w:szCs w:val="22"/>
          <w:lang w:val="en-GB"/>
        </w:rPr>
      </w:pPr>
    </w:p>
    <w:p w14:paraId="352F2163" w14:textId="6895D3C6" w:rsidR="000A0E9D" w:rsidRPr="000A0E9D" w:rsidRDefault="000A0E9D" w:rsidP="000A0E9D">
      <w:pPr>
        <w:rPr>
          <w:sz w:val="22"/>
          <w:szCs w:val="22"/>
          <w:lang w:val="en-GB"/>
        </w:rPr>
      </w:pPr>
      <w:r w:rsidRPr="000A0E9D">
        <w:rPr>
          <w:noProof/>
          <w:snapToGrid/>
          <w:sz w:val="22"/>
          <w:szCs w:val="22"/>
          <w:lang w:val="en-IE" w:eastAsia="en-IE"/>
        </w:rPr>
        <mc:AlternateContent>
          <mc:Choice Requires="wps">
            <w:drawing>
              <wp:anchor distT="0" distB="0" distL="114300" distR="114300" simplePos="0" relativeHeight="251662336" behindDoc="0" locked="0" layoutInCell="0" allowOverlap="1" wp14:anchorId="0F92DC4E" wp14:editId="101A68EA">
                <wp:simplePos x="0" y="0"/>
                <wp:positionH relativeFrom="column">
                  <wp:posOffset>0</wp:posOffset>
                </wp:positionH>
                <wp:positionV relativeFrom="paragraph">
                  <wp:posOffset>152400</wp:posOffset>
                </wp:positionV>
                <wp:extent cx="5943600" cy="635"/>
                <wp:effectExtent l="19050" t="29845" r="19050" b="1714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61759"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" o:allowincell="f" strokecolor="#d4d4d4" strokeweight="1.75pt">
                <v:shadow on="t" origin=".5,-.5" offset="0,-1pt"/>
              </v:line>
            </w:pict>
          </mc:Fallback>
        </mc:AlternateContent>
      </w:r>
    </w:p>
    <w:p w14:paraId="6C20A66F" w14:textId="77777777" w:rsidR="000A0E9D" w:rsidRPr="000A0E9D" w:rsidRDefault="000A0E9D" w:rsidP="000A0E9D">
      <w:pPr>
        <w:spacing w:after="240"/>
        <w:ind w:left="284"/>
        <w:jc w:val="center"/>
        <w:rPr>
          <w:b/>
          <w:sz w:val="22"/>
          <w:szCs w:val="22"/>
          <w:lang w:val="en-GB"/>
        </w:rPr>
      </w:pPr>
      <w:r w:rsidRPr="000A0E9D">
        <w:rPr>
          <w:b/>
          <w:sz w:val="22"/>
          <w:szCs w:val="22"/>
          <w:lang w:val="en-GB"/>
        </w:rPr>
        <w:lastRenderedPageBreak/>
        <w:t>APPLICATION AND TENDERING</w:t>
      </w:r>
    </w:p>
    <w:p w14:paraId="3B9DD780" w14:textId="77777777" w:rsidR="000A0E9D" w:rsidRPr="000A0E9D" w:rsidRDefault="000A0E9D" w:rsidP="000A0E9D">
      <w:pPr>
        <w:spacing w:after="240"/>
        <w:ind w:left="284"/>
        <w:rPr>
          <w:b/>
          <w:sz w:val="22"/>
          <w:szCs w:val="22"/>
          <w:lang w:val="en-IE"/>
        </w:rPr>
      </w:pPr>
    </w:p>
    <w:p w14:paraId="316127FC" w14:textId="77777777" w:rsidR="000A0E9D" w:rsidRPr="000A0E9D" w:rsidRDefault="000A0E9D" w:rsidP="000A0E9D">
      <w:pPr>
        <w:tabs>
          <w:tab w:val="num" w:pos="567"/>
        </w:tabs>
        <w:ind w:left="426" w:hanging="426"/>
        <w:jc w:val="both"/>
        <w:rPr>
          <w:b/>
          <w:sz w:val="22"/>
          <w:szCs w:val="22"/>
          <w:lang w:val="en-GB"/>
        </w:rPr>
      </w:pPr>
      <w:r w:rsidRPr="000A0E9D">
        <w:rPr>
          <w:b/>
          <w:sz w:val="22"/>
          <w:szCs w:val="22"/>
          <w:lang w:val="en-GB"/>
        </w:rPr>
        <w:t>How to obtain the tender dossier</w:t>
      </w:r>
    </w:p>
    <w:p w14:paraId="7747CA42" w14:textId="77777777" w:rsidR="000A0E9D" w:rsidRPr="000A0E9D" w:rsidRDefault="000A0E9D" w:rsidP="000A0E9D">
      <w:pPr>
        <w:ind w:left="426" w:right="-48"/>
        <w:jc w:val="both"/>
        <w:rPr>
          <w:sz w:val="22"/>
          <w:szCs w:val="22"/>
          <w:lang w:val="en-GB"/>
        </w:rPr>
      </w:pPr>
      <w:r w:rsidRPr="000A0E9D">
        <w:rPr>
          <w:sz w:val="22"/>
          <w:szCs w:val="22"/>
          <w:lang w:val="en-GB"/>
        </w:rPr>
        <w:t xml:space="preserve">The tender dossier is available from – </w:t>
      </w:r>
      <w:hyperlink r:id="rId11" w:history="1">
        <w:r w:rsidRPr="000A0E9D">
          <w:rPr>
            <w:color w:val="0000FF"/>
            <w:sz w:val="22"/>
            <w:szCs w:val="22"/>
            <w:u w:val="single"/>
            <w:lang w:val="en-GB"/>
          </w:rPr>
          <w:t>www.icpac.net</w:t>
        </w:r>
      </w:hyperlink>
      <w:r w:rsidRPr="000A0E9D">
        <w:rPr>
          <w:sz w:val="22"/>
          <w:szCs w:val="22"/>
          <w:lang w:val="en-GB"/>
        </w:rPr>
        <w:t xml:space="preserve"> and </w:t>
      </w:r>
      <w:hyperlink r:id="rId12" w:history="1">
        <w:r w:rsidRPr="000A0E9D">
          <w:rPr>
            <w:color w:val="0000FF"/>
            <w:sz w:val="22"/>
            <w:szCs w:val="22"/>
            <w:u w:val="single"/>
            <w:lang w:val="en-GB"/>
          </w:rPr>
          <w:t>www.igad.int</w:t>
        </w:r>
      </w:hyperlink>
      <w:r w:rsidRPr="000A0E9D">
        <w:rPr>
          <w:sz w:val="22"/>
          <w:szCs w:val="22"/>
          <w:lang w:val="en-GB"/>
        </w:rPr>
        <w:t xml:space="preserve"> </w:t>
      </w:r>
    </w:p>
    <w:p w14:paraId="18272C68" w14:textId="77777777" w:rsidR="000A0E9D" w:rsidRPr="000A0E9D" w:rsidRDefault="000A0E9D" w:rsidP="000A0E9D">
      <w:pPr>
        <w:ind w:left="426" w:right="-48"/>
        <w:jc w:val="both"/>
        <w:rPr>
          <w:sz w:val="22"/>
          <w:szCs w:val="22"/>
          <w:lang w:val="en-GB"/>
        </w:rPr>
      </w:pPr>
      <w:r w:rsidRPr="000A0E9D">
        <w:rPr>
          <w:sz w:val="22"/>
          <w:szCs w:val="22"/>
          <w:lang w:val="en-GB"/>
        </w:rPr>
        <w:t>Tenders must be submitted using the standard tender form included in the tender dossier, whose format and instructions must be strictly observed.</w:t>
      </w:r>
    </w:p>
    <w:p w14:paraId="31DF50F2" w14:textId="4C83FF61" w:rsidR="000A0E9D" w:rsidRPr="000A0E9D" w:rsidRDefault="000A0E9D" w:rsidP="000A0E9D">
      <w:pPr>
        <w:ind w:left="426" w:right="-48"/>
        <w:jc w:val="both"/>
        <w:rPr>
          <w:sz w:val="22"/>
          <w:szCs w:val="22"/>
          <w:lang w:val="en-GB"/>
        </w:rPr>
      </w:pPr>
      <w:r w:rsidRPr="000A0E9D">
        <w:rPr>
          <w:sz w:val="22"/>
          <w:szCs w:val="22"/>
          <w:lang w:val="en-GB"/>
        </w:rPr>
        <w:t xml:space="preserve">Tender should be submitted in Hard copy (Technical proposal &amp; financial proposal) before the deadline of </w:t>
      </w:r>
      <w:r w:rsidRPr="00E72396">
        <w:rPr>
          <w:b/>
          <w:bCs/>
          <w:sz w:val="22"/>
          <w:szCs w:val="22"/>
          <w:lang w:val="en-GB"/>
        </w:rPr>
        <w:t>2</w:t>
      </w:r>
      <w:r w:rsidR="00380126" w:rsidRPr="00E72396">
        <w:rPr>
          <w:b/>
          <w:bCs/>
          <w:sz w:val="22"/>
          <w:szCs w:val="22"/>
          <w:lang w:val="en-GB"/>
        </w:rPr>
        <w:t>1 March</w:t>
      </w:r>
      <w:r w:rsidRPr="00E72396">
        <w:rPr>
          <w:b/>
          <w:bCs/>
          <w:sz w:val="22"/>
          <w:szCs w:val="22"/>
          <w:lang w:val="en-GB"/>
        </w:rPr>
        <w:t xml:space="preserve"> 2022 at 11.00am local time (Nairobi, Kenya)</w:t>
      </w:r>
    </w:p>
    <w:p w14:paraId="5F313279" w14:textId="77777777" w:rsidR="000A0E9D" w:rsidRPr="000A0E9D" w:rsidRDefault="000A0E9D" w:rsidP="000A0E9D">
      <w:pPr>
        <w:ind w:left="426"/>
        <w:jc w:val="both"/>
        <w:rPr>
          <w:sz w:val="22"/>
          <w:szCs w:val="22"/>
          <w:lang w:val="en-GB"/>
        </w:rPr>
      </w:pPr>
      <w:r w:rsidRPr="000A0E9D">
        <w:rPr>
          <w:sz w:val="22"/>
          <w:szCs w:val="22"/>
          <w:lang w:val="en-GB"/>
        </w:rPr>
        <w:t xml:space="preserve">Any request for additional information/clarifications must be made in writing to </w:t>
      </w:r>
      <w:hyperlink r:id="rId13" w:history="1">
        <w:r w:rsidRPr="000A0E9D">
          <w:rPr>
            <w:color w:val="0000FF"/>
            <w:sz w:val="22"/>
            <w:szCs w:val="22"/>
            <w:u w:val="single"/>
            <w:lang w:val="en-GB"/>
          </w:rPr>
          <w:t>procurement@icpac.net</w:t>
        </w:r>
      </w:hyperlink>
      <w:r w:rsidRPr="000A0E9D">
        <w:rPr>
          <w:sz w:val="22"/>
          <w:szCs w:val="22"/>
          <w:lang w:val="en-GB"/>
        </w:rPr>
        <w:t xml:space="preserve">   at least 21 days before the deadline for submission of tenders given in item </w:t>
      </w:r>
      <w:r w:rsidRPr="000A0E9D">
        <w:rPr>
          <w:b/>
          <w:sz w:val="22"/>
          <w:szCs w:val="22"/>
          <w:lang w:val="en-GB"/>
        </w:rPr>
        <w:t xml:space="preserve">‘Deadline for submission of applications or </w:t>
      </w:r>
      <w:proofErr w:type="gramStart"/>
      <w:r w:rsidRPr="000A0E9D">
        <w:rPr>
          <w:b/>
          <w:sz w:val="22"/>
          <w:szCs w:val="22"/>
          <w:lang w:val="en-GB"/>
        </w:rPr>
        <w:t>tenders’</w:t>
      </w:r>
      <w:proofErr w:type="gramEnd"/>
      <w:r w:rsidRPr="000A0E9D">
        <w:rPr>
          <w:sz w:val="22"/>
          <w:szCs w:val="22"/>
          <w:lang w:val="en-GB"/>
        </w:rPr>
        <w:t xml:space="preserve">. The website will be updated regularly and it is the tenderer’s responsibility to check for updates and modifications during the submission period.  </w:t>
      </w:r>
    </w:p>
    <w:p w14:paraId="7D6A2EA2" w14:textId="77777777" w:rsidR="000A0E9D" w:rsidRPr="000A0E9D" w:rsidRDefault="000A0E9D" w:rsidP="000A0E9D">
      <w:pPr>
        <w:tabs>
          <w:tab w:val="num" w:pos="567"/>
        </w:tabs>
        <w:ind w:left="426" w:hanging="426"/>
        <w:rPr>
          <w:b/>
          <w:sz w:val="22"/>
          <w:szCs w:val="22"/>
          <w:lang w:val="en-GB"/>
        </w:rPr>
      </w:pPr>
      <w:r w:rsidRPr="000A0E9D">
        <w:rPr>
          <w:b/>
          <w:sz w:val="22"/>
          <w:szCs w:val="22"/>
          <w:lang w:val="en-GB"/>
        </w:rPr>
        <w:t>Tender opening session</w:t>
      </w:r>
    </w:p>
    <w:p w14:paraId="6D8C0585" w14:textId="1242EA4F" w:rsidR="000A0E9D" w:rsidRPr="000A0E9D" w:rsidRDefault="000A0E9D" w:rsidP="000A0E9D">
      <w:pPr>
        <w:ind w:left="426"/>
        <w:rPr>
          <w:sz w:val="22"/>
          <w:szCs w:val="22"/>
          <w:lang w:val="en-GB"/>
        </w:rPr>
      </w:pPr>
      <w:r w:rsidRPr="000A0E9D">
        <w:rPr>
          <w:sz w:val="22"/>
          <w:szCs w:val="22"/>
          <w:lang w:val="en-GB"/>
        </w:rPr>
        <w:t xml:space="preserve">Date – </w:t>
      </w:r>
      <w:r w:rsidR="00380126">
        <w:rPr>
          <w:sz w:val="22"/>
          <w:szCs w:val="22"/>
          <w:lang w:val="en-GB"/>
        </w:rPr>
        <w:t>28</w:t>
      </w:r>
      <w:r w:rsidRPr="000A0E9D">
        <w:rPr>
          <w:sz w:val="22"/>
          <w:szCs w:val="22"/>
          <w:lang w:val="en-GB"/>
        </w:rPr>
        <w:t xml:space="preserve"> March 2022 at 11.00am </w:t>
      </w:r>
    </w:p>
    <w:p w14:paraId="2FBCA525" w14:textId="77777777" w:rsidR="000A0E9D" w:rsidRPr="000A0E9D" w:rsidRDefault="000A0E9D" w:rsidP="000A0E9D">
      <w:pPr>
        <w:ind w:left="426"/>
        <w:rPr>
          <w:sz w:val="22"/>
          <w:szCs w:val="22"/>
          <w:lang w:val="en-GB"/>
        </w:rPr>
      </w:pPr>
      <w:r w:rsidRPr="000A0E9D">
        <w:rPr>
          <w:sz w:val="22"/>
          <w:szCs w:val="22"/>
          <w:lang w:val="en-GB"/>
        </w:rPr>
        <w:t xml:space="preserve">Venue – </w:t>
      </w:r>
      <w:bookmarkStart w:id="4" w:name="_Hlk89946017"/>
      <w:r w:rsidRPr="000A0E9D">
        <w:rPr>
          <w:sz w:val="22"/>
          <w:szCs w:val="22"/>
          <w:lang w:val="en-GB"/>
        </w:rPr>
        <w:t xml:space="preserve">ICPAC Headquaters, Ngong </w:t>
      </w:r>
      <w:proofErr w:type="gramStart"/>
      <w:r w:rsidRPr="000A0E9D">
        <w:rPr>
          <w:sz w:val="22"/>
          <w:szCs w:val="22"/>
          <w:lang w:val="en-GB"/>
        </w:rPr>
        <w:t>town ,</w:t>
      </w:r>
      <w:proofErr w:type="gramEnd"/>
      <w:r w:rsidRPr="000A0E9D">
        <w:rPr>
          <w:sz w:val="22"/>
          <w:szCs w:val="22"/>
          <w:lang w:val="en-GB"/>
        </w:rPr>
        <w:t xml:space="preserve"> Kibiko </w:t>
      </w:r>
      <w:r w:rsidRPr="000A0E9D">
        <w:rPr>
          <w:rFonts w:ascii="Arial" w:hAnsi="Arial" w:cs="Arial"/>
          <w:color w:val="000000"/>
          <w:sz w:val="20"/>
          <w:shd w:val="clear" w:color="auto" w:fill="FFFFFF"/>
          <w:lang w:val="fr-FR"/>
        </w:rPr>
        <w:t>Near KIHBT (use google maps)</w:t>
      </w:r>
      <w:bookmarkEnd w:id="4"/>
    </w:p>
    <w:p w14:paraId="73185095" w14:textId="77777777" w:rsidR="000A0E9D" w:rsidRPr="000A0E9D" w:rsidRDefault="000A0E9D" w:rsidP="000A0E9D">
      <w:pPr>
        <w:tabs>
          <w:tab w:val="num" w:pos="567"/>
        </w:tabs>
        <w:ind w:left="426" w:hanging="426"/>
        <w:jc w:val="both"/>
        <w:rPr>
          <w:b/>
          <w:sz w:val="22"/>
          <w:szCs w:val="22"/>
          <w:lang w:val="en-GB"/>
        </w:rPr>
      </w:pPr>
      <w:r w:rsidRPr="000A0E9D">
        <w:rPr>
          <w:b/>
          <w:sz w:val="22"/>
          <w:szCs w:val="22"/>
          <w:lang w:val="en-GB"/>
        </w:rPr>
        <w:t xml:space="preserve">How applications may be submitted </w:t>
      </w:r>
    </w:p>
    <w:p w14:paraId="06D863A9" w14:textId="77777777" w:rsidR="000A0E9D" w:rsidRPr="000A0E9D" w:rsidRDefault="000A0E9D" w:rsidP="000A0E9D">
      <w:pPr>
        <w:ind w:left="426"/>
        <w:jc w:val="both"/>
        <w:rPr>
          <w:sz w:val="22"/>
          <w:szCs w:val="22"/>
          <w:lang w:val="en-GB"/>
        </w:rPr>
      </w:pPr>
      <w:r w:rsidRPr="000A0E9D">
        <w:rPr>
          <w:sz w:val="22"/>
          <w:szCs w:val="22"/>
          <w:lang w:val="en-GB"/>
        </w:rPr>
        <w:t>Applications must be submitted in English exclusively to the contracting authority in a sealed envelope containing both technical and financial proposals. It should be hand delivered by the participant in person or by an agent</w:t>
      </w:r>
      <w:r w:rsidRPr="000A0E9D">
        <w:t xml:space="preserve"> directly</w:t>
      </w:r>
      <w:r w:rsidRPr="000A0E9D">
        <w:rPr>
          <w:sz w:val="22"/>
          <w:szCs w:val="22"/>
          <w:lang w:val="en-GB"/>
        </w:rPr>
        <w:t xml:space="preserve"> to the premises of the contracting authority in return for a </w:t>
      </w:r>
      <w:r w:rsidRPr="000A0E9D">
        <w:t>signed and dated receipt</w:t>
      </w:r>
      <w:r w:rsidRPr="000A0E9D">
        <w:rPr>
          <w:sz w:val="22"/>
          <w:szCs w:val="22"/>
          <w:lang w:val="en-GB"/>
        </w:rPr>
        <w:t xml:space="preserve">, in which case the evidence shall be constituted by this acknowledgement of receipt, to: </w:t>
      </w:r>
    </w:p>
    <w:p w14:paraId="367403DE" w14:textId="77777777" w:rsidR="000A0E9D" w:rsidRPr="000A0E9D" w:rsidRDefault="000A0E9D" w:rsidP="000A0E9D">
      <w:pPr>
        <w:ind w:left="360" w:right="360"/>
        <w:jc w:val="center"/>
        <w:rPr>
          <w:rFonts w:ascii="Arial" w:hAnsi="Arial" w:cs="Arial"/>
          <w:color w:val="000000"/>
          <w:sz w:val="20"/>
          <w:shd w:val="clear" w:color="auto" w:fill="FFFFFF"/>
        </w:rPr>
      </w:pPr>
      <w:r w:rsidRPr="000A0E9D">
        <w:rPr>
          <w:sz w:val="22"/>
          <w:szCs w:val="22"/>
          <w:lang w:val="en-GB"/>
        </w:rPr>
        <w:br/>
      </w:r>
      <w:proofErr w:type="gramStart"/>
      <w:r w:rsidRPr="000A0E9D">
        <w:rPr>
          <w:sz w:val="22"/>
          <w:szCs w:val="22"/>
          <w:lang w:val="en-GB"/>
        </w:rPr>
        <w:t>Mr.Abdullahi</w:t>
      </w:r>
      <w:proofErr w:type="gramEnd"/>
      <w:r w:rsidRPr="000A0E9D">
        <w:rPr>
          <w:sz w:val="22"/>
          <w:szCs w:val="22"/>
          <w:lang w:val="en-GB"/>
        </w:rPr>
        <w:t xml:space="preserve"> Hussein - +254704470615</w:t>
      </w:r>
      <w:r w:rsidRPr="000A0E9D">
        <w:rPr>
          <w:sz w:val="22"/>
          <w:szCs w:val="22"/>
          <w:lang w:val="en-GB"/>
        </w:rPr>
        <w:br/>
        <w:t xml:space="preserve">ICPAC Headquaters, Ngong town , Kibiko </w:t>
      </w:r>
      <w:r w:rsidRPr="000A0E9D">
        <w:rPr>
          <w:rFonts w:ascii="Arial" w:hAnsi="Arial" w:cs="Arial"/>
          <w:color w:val="000000"/>
          <w:sz w:val="20"/>
          <w:shd w:val="clear" w:color="auto" w:fill="FFFFFF"/>
        </w:rPr>
        <w:t>Near KIHBT (use google maps)</w:t>
      </w:r>
    </w:p>
    <w:p w14:paraId="1BC51B57" w14:textId="5CDCA950" w:rsidR="000A0E9D" w:rsidRPr="000A0E9D" w:rsidRDefault="000A0E9D" w:rsidP="000A0E9D">
      <w:pPr>
        <w:ind w:left="360" w:right="360"/>
        <w:jc w:val="center"/>
        <w:rPr>
          <w:sz w:val="22"/>
          <w:szCs w:val="22"/>
          <w:highlight w:val="yellow"/>
          <w:lang w:val="en-GB"/>
        </w:rPr>
      </w:pPr>
      <w:bookmarkStart w:id="5" w:name="_Hlk89946076"/>
      <w:r w:rsidRPr="000A0E9D">
        <w:rPr>
          <w:rFonts w:ascii="Arial" w:hAnsi="Arial" w:cs="Arial"/>
          <w:color w:val="000000"/>
          <w:sz w:val="20"/>
          <w:shd w:val="clear" w:color="auto" w:fill="FFFFFF"/>
        </w:rPr>
        <w:t>Opening Hours (8.00am – 2.30pm)</w:t>
      </w:r>
      <w:bookmarkEnd w:id="5"/>
      <w:r w:rsidRPr="000A0E9D">
        <w:rPr>
          <w:i/>
          <w:sz w:val="22"/>
          <w:szCs w:val="22"/>
          <w:lang w:val="en-GB"/>
        </w:rPr>
        <w:br/>
      </w:r>
    </w:p>
    <w:p w14:paraId="73B69B37" w14:textId="77777777" w:rsidR="000A0E9D" w:rsidRPr="000A0E9D" w:rsidRDefault="000A0E9D" w:rsidP="000A0E9D">
      <w:pPr>
        <w:ind w:left="426"/>
        <w:jc w:val="both"/>
        <w:rPr>
          <w:sz w:val="22"/>
          <w:szCs w:val="22"/>
          <w:lang w:val="en-GB"/>
        </w:rPr>
      </w:pPr>
      <w:r w:rsidRPr="000A0E9D">
        <w:rPr>
          <w:sz w:val="22"/>
          <w:szCs w:val="22"/>
          <w:lang w:val="en-GB"/>
        </w:rPr>
        <w:t xml:space="preserve">The contract title and publication reference (see contract notice) must be clearly marked on the envelope containing the application and must always be mentioned in all subsequent correspondence with the contracting authority. </w:t>
      </w:r>
    </w:p>
    <w:p w14:paraId="3F6D792D" w14:textId="77777777" w:rsidR="000A0E9D" w:rsidRPr="000A0E9D" w:rsidRDefault="000A0E9D" w:rsidP="000A0E9D">
      <w:pPr>
        <w:tabs>
          <w:tab w:val="left" w:pos="426"/>
        </w:tabs>
        <w:ind w:left="426"/>
        <w:jc w:val="both"/>
        <w:rPr>
          <w:sz w:val="22"/>
          <w:szCs w:val="22"/>
          <w:lang w:val="en-GB"/>
        </w:rPr>
      </w:pPr>
      <w:r w:rsidRPr="000A0E9D">
        <w:rPr>
          <w:sz w:val="22"/>
          <w:szCs w:val="22"/>
          <w:lang w:val="en-GB"/>
        </w:rPr>
        <w:t xml:space="preserve">Applications submitted by any other means will not be considered. </w:t>
      </w:r>
    </w:p>
    <w:p w14:paraId="65CE9846" w14:textId="77777777" w:rsidR="000A0E9D" w:rsidRPr="000A0E9D" w:rsidRDefault="000A0E9D" w:rsidP="000A0E9D">
      <w:pPr>
        <w:tabs>
          <w:tab w:val="left" w:pos="426"/>
        </w:tabs>
        <w:ind w:left="426"/>
        <w:jc w:val="both"/>
        <w:rPr>
          <w:sz w:val="22"/>
          <w:szCs w:val="22"/>
          <w:lang w:val="en-GB"/>
        </w:rPr>
      </w:pPr>
      <w:r w:rsidRPr="000A0E9D">
        <w:rPr>
          <w:sz w:val="22"/>
          <w:szCs w:val="22"/>
          <w:lang w:val="en-GB"/>
        </w:rPr>
        <w:t xml:space="preserve">By submitting an application candidates accept to receive notification of the outcome of the procedure by electronic means. Such notification shall be deemed to have been received on the date upon which the contracting authority sends it to the electronic address referred to in the application form. </w:t>
      </w:r>
    </w:p>
    <w:p w14:paraId="41B4A8F8" w14:textId="77777777" w:rsidR="000A0E9D" w:rsidRPr="000A0E9D" w:rsidRDefault="000A0E9D" w:rsidP="000A0E9D">
      <w:pPr>
        <w:tabs>
          <w:tab w:val="num" w:pos="426"/>
        </w:tabs>
        <w:ind w:left="567" w:hanging="567"/>
        <w:rPr>
          <w:snapToGrid/>
          <w:sz w:val="22"/>
          <w:lang w:val="en-GB"/>
        </w:rPr>
      </w:pPr>
      <w:r w:rsidRPr="000A0E9D">
        <w:rPr>
          <w:b/>
          <w:lang w:val="en-GB"/>
        </w:rPr>
        <w:t>Deadline for submission of applications</w:t>
      </w:r>
    </w:p>
    <w:p w14:paraId="4AC30F61" w14:textId="2FB0768F" w:rsidR="000A0E9D" w:rsidRPr="000A0E9D" w:rsidRDefault="000A0E9D" w:rsidP="000A0E9D">
      <w:pPr>
        <w:ind w:left="426"/>
        <w:jc w:val="both"/>
        <w:rPr>
          <w:b/>
          <w:bCs/>
          <w:iCs/>
          <w:sz w:val="22"/>
          <w:szCs w:val="22"/>
          <w:lang w:val="en-GB"/>
        </w:rPr>
      </w:pPr>
      <w:r w:rsidRPr="000A0E9D">
        <w:rPr>
          <w:b/>
          <w:bCs/>
          <w:iCs/>
          <w:sz w:val="22"/>
          <w:szCs w:val="22"/>
          <w:lang w:val="en-GB"/>
        </w:rPr>
        <w:t>Deadline for submission of tender is 2</w:t>
      </w:r>
      <w:r w:rsidR="00380126">
        <w:rPr>
          <w:b/>
          <w:bCs/>
          <w:iCs/>
          <w:sz w:val="22"/>
          <w:szCs w:val="22"/>
          <w:lang w:val="en-GB"/>
        </w:rPr>
        <w:t>1 March</w:t>
      </w:r>
      <w:r w:rsidRPr="000A0E9D">
        <w:rPr>
          <w:b/>
          <w:bCs/>
          <w:iCs/>
          <w:sz w:val="22"/>
          <w:szCs w:val="22"/>
          <w:lang w:val="en-GB"/>
        </w:rPr>
        <w:t xml:space="preserve"> 2022 at 11.00am</w:t>
      </w:r>
    </w:p>
    <w:p w14:paraId="3831DB8C" w14:textId="77777777" w:rsidR="000A0E9D" w:rsidRPr="000A0E9D" w:rsidRDefault="000A0E9D" w:rsidP="000A0E9D">
      <w:pPr>
        <w:ind w:left="426"/>
        <w:jc w:val="both"/>
        <w:rPr>
          <w:iCs/>
          <w:sz w:val="22"/>
          <w:szCs w:val="22"/>
          <w:lang w:val="en-GB"/>
        </w:rPr>
      </w:pPr>
      <w:r w:rsidRPr="000A0E9D">
        <w:rPr>
          <w:iCs/>
          <w:sz w:val="22"/>
          <w:szCs w:val="22"/>
          <w:lang w:val="en-GB"/>
        </w:rPr>
        <w:t>Any application sent to the contracting authority after this deadline will not be considered.</w:t>
      </w:r>
    </w:p>
    <w:p w14:paraId="6BC0657F" w14:textId="77777777" w:rsidR="000A0E9D" w:rsidRPr="000A0E9D" w:rsidRDefault="000A0E9D" w:rsidP="000A0E9D">
      <w:pPr>
        <w:ind w:left="426"/>
        <w:jc w:val="both"/>
        <w:rPr>
          <w:szCs w:val="24"/>
          <w:lang w:val="en-IE"/>
        </w:rPr>
      </w:pPr>
      <w:r w:rsidRPr="000A0E9D">
        <w:rPr>
          <w:iCs/>
          <w:sz w:val="22"/>
          <w:szCs w:val="22"/>
          <w:lang w:val="en-IE"/>
        </w:rPr>
        <w:t xml:space="preserve">The contracting authority may, for reasons of administrative efficiency, reject any application submitted on time but received, for any reason beyond the contracting authority's control, after the </w:t>
      </w:r>
      <w:r w:rsidRPr="000A0E9D">
        <w:rPr>
          <w:iCs/>
          <w:sz w:val="22"/>
          <w:szCs w:val="22"/>
          <w:lang w:val="en-IE"/>
        </w:rPr>
        <w:lastRenderedPageBreak/>
        <w:t>effective date of approval of the short-list report, if accepting applications that were submitted on time but arrived late would considerably delay the evaluation procedure or jeopardise</w:t>
      </w:r>
      <w:r w:rsidRPr="000A0E9D">
        <w:rPr>
          <w:lang w:val="en-GB"/>
        </w:rPr>
        <w:t xml:space="preserve"> </w:t>
      </w:r>
      <w:r w:rsidRPr="000A0E9D">
        <w:rPr>
          <w:sz w:val="22"/>
          <w:szCs w:val="22"/>
          <w:lang w:val="en-GB"/>
        </w:rPr>
        <w:t>decisions already taken and notified</w:t>
      </w:r>
      <w:r w:rsidRPr="000A0E9D">
        <w:rPr>
          <w:lang w:val="en-GB"/>
        </w:rPr>
        <w:t>.</w:t>
      </w:r>
    </w:p>
    <w:p w14:paraId="4F029898" w14:textId="77777777" w:rsidR="000A0E9D" w:rsidRPr="000A0E9D" w:rsidRDefault="000A0E9D" w:rsidP="000A0E9D">
      <w:pPr>
        <w:ind w:left="567"/>
        <w:rPr>
          <w:b/>
          <w:sz w:val="22"/>
          <w:szCs w:val="22"/>
          <w:lang w:val="en-GB"/>
        </w:rPr>
      </w:pPr>
    </w:p>
    <w:p w14:paraId="31A4E8F2" w14:textId="77777777" w:rsidR="000A0E9D" w:rsidRPr="000A0E9D" w:rsidRDefault="000A0E9D" w:rsidP="000A0E9D">
      <w:pPr>
        <w:tabs>
          <w:tab w:val="num" w:pos="426"/>
        </w:tabs>
        <w:ind w:left="567" w:hanging="567"/>
        <w:rPr>
          <w:b/>
          <w:sz w:val="22"/>
          <w:szCs w:val="22"/>
          <w:lang w:val="en-GB"/>
        </w:rPr>
      </w:pPr>
      <w:r w:rsidRPr="000A0E9D">
        <w:rPr>
          <w:b/>
          <w:sz w:val="22"/>
          <w:szCs w:val="22"/>
          <w:lang w:val="en-GB"/>
        </w:rPr>
        <w:t>Clarifications on the contract notice</w:t>
      </w:r>
    </w:p>
    <w:p w14:paraId="1E894AB5" w14:textId="77777777" w:rsidR="000A0E9D" w:rsidRPr="000A0E9D" w:rsidRDefault="000A0E9D" w:rsidP="000A0E9D">
      <w:pPr>
        <w:ind w:left="426"/>
        <w:jc w:val="both"/>
        <w:rPr>
          <w:sz w:val="22"/>
          <w:szCs w:val="22"/>
          <w:lang w:val="en-GB"/>
        </w:rPr>
      </w:pPr>
      <w:r w:rsidRPr="000A0E9D">
        <w:rPr>
          <w:sz w:val="22"/>
          <w:szCs w:val="22"/>
          <w:lang w:val="en-GB"/>
        </w:rPr>
        <w:t xml:space="preserve">Any request for additional information must be made in writing to </w:t>
      </w:r>
      <w:hyperlink r:id="rId14" w:history="1">
        <w:r w:rsidRPr="000A0E9D">
          <w:rPr>
            <w:color w:val="0000FF"/>
            <w:sz w:val="22"/>
            <w:szCs w:val="22"/>
            <w:u w:val="single"/>
            <w:lang w:val="en-GB"/>
          </w:rPr>
          <w:t>procurement@icpac.net</w:t>
        </w:r>
      </w:hyperlink>
      <w:r w:rsidRPr="000A0E9D">
        <w:rPr>
          <w:sz w:val="22"/>
          <w:szCs w:val="22"/>
          <w:lang w:val="en-GB"/>
        </w:rPr>
        <w:t xml:space="preserve"> </w:t>
      </w:r>
    </w:p>
    <w:p w14:paraId="1A7A2157" w14:textId="77777777" w:rsidR="00A401B7" w:rsidRDefault="00A401B7" w:rsidP="000A0E9D">
      <w:pPr>
        <w:tabs>
          <w:tab w:val="num" w:pos="567"/>
        </w:tabs>
        <w:ind w:left="426" w:hanging="426"/>
        <w:jc w:val="both"/>
        <w:rPr>
          <w:b/>
          <w:sz w:val="22"/>
          <w:szCs w:val="22"/>
          <w:lang w:val="en-GB"/>
        </w:rPr>
      </w:pPr>
    </w:p>
    <w:p w14:paraId="1403BD7A" w14:textId="6000D1B6" w:rsidR="000A0E9D" w:rsidRPr="000A0E9D" w:rsidRDefault="000A0E9D" w:rsidP="000A0E9D">
      <w:pPr>
        <w:tabs>
          <w:tab w:val="num" w:pos="567"/>
        </w:tabs>
        <w:ind w:left="426" w:hanging="426"/>
        <w:jc w:val="both"/>
        <w:rPr>
          <w:b/>
          <w:sz w:val="22"/>
          <w:szCs w:val="22"/>
          <w:lang w:val="en-GB"/>
        </w:rPr>
      </w:pPr>
      <w:r w:rsidRPr="000A0E9D">
        <w:rPr>
          <w:b/>
          <w:sz w:val="22"/>
          <w:szCs w:val="22"/>
          <w:lang w:val="en-GB"/>
        </w:rPr>
        <w:t>Alteration or withdrawal of applications</w:t>
      </w:r>
    </w:p>
    <w:p w14:paraId="6E889BE1" w14:textId="77777777" w:rsidR="000A0E9D" w:rsidRPr="000A0E9D" w:rsidRDefault="000A0E9D" w:rsidP="000A0E9D">
      <w:pPr>
        <w:ind w:left="426"/>
        <w:jc w:val="both"/>
        <w:rPr>
          <w:sz w:val="22"/>
          <w:szCs w:val="22"/>
          <w:lang w:val="en-GB"/>
        </w:rPr>
      </w:pPr>
      <w:r w:rsidRPr="000A0E9D">
        <w:rPr>
          <w:sz w:val="22"/>
          <w:szCs w:val="22"/>
          <w:lang w:val="en-GB"/>
        </w:rPr>
        <w:t xml:space="preserve">Applicants may alter or withdraw their applications by written notification prior to the deadline for submission of applications. No applications may be altered after this deadline. </w:t>
      </w:r>
    </w:p>
    <w:p w14:paraId="09D0E72D" w14:textId="77777777" w:rsidR="000A0E9D" w:rsidRPr="000A0E9D" w:rsidRDefault="000A0E9D" w:rsidP="000A0E9D">
      <w:pPr>
        <w:ind w:left="426"/>
        <w:jc w:val="both"/>
        <w:rPr>
          <w:sz w:val="22"/>
          <w:szCs w:val="22"/>
          <w:lang w:val="en-GB"/>
        </w:rPr>
      </w:pPr>
      <w:r w:rsidRPr="000A0E9D">
        <w:rPr>
          <w:sz w:val="22"/>
          <w:szCs w:val="22"/>
          <w:lang w:val="en-GB"/>
        </w:rPr>
        <w:t xml:space="preserve">Any such notification of alteration or withdrawal shall be prepared and submitted in accordance with precedent item. The outer envelope (and the relevant inner envelope if used) must be marked ‘Alteration’ or ‘Withdrawal’ as appropriate. </w:t>
      </w:r>
    </w:p>
    <w:p w14:paraId="2E415422" w14:textId="77777777" w:rsidR="000A0E9D" w:rsidRPr="000A0E9D" w:rsidRDefault="000A0E9D" w:rsidP="000A0E9D">
      <w:pPr>
        <w:tabs>
          <w:tab w:val="num" w:pos="567"/>
        </w:tabs>
        <w:ind w:left="426" w:hanging="426"/>
        <w:rPr>
          <w:b/>
          <w:sz w:val="22"/>
          <w:szCs w:val="22"/>
          <w:lang w:val="en-GB"/>
        </w:rPr>
      </w:pPr>
      <w:r w:rsidRPr="000A0E9D">
        <w:rPr>
          <w:b/>
          <w:sz w:val="22"/>
          <w:szCs w:val="22"/>
          <w:lang w:val="en-GB"/>
        </w:rPr>
        <w:t>Language of the procedure</w:t>
      </w:r>
    </w:p>
    <w:p w14:paraId="1B456B54" w14:textId="77777777" w:rsidR="000A0E9D" w:rsidRPr="000A0E9D" w:rsidRDefault="000A0E9D" w:rsidP="000A0E9D">
      <w:pPr>
        <w:ind w:left="426"/>
        <w:jc w:val="both"/>
        <w:rPr>
          <w:sz w:val="22"/>
          <w:szCs w:val="22"/>
          <w:lang w:val="en-GB"/>
        </w:rPr>
      </w:pPr>
      <w:r w:rsidRPr="000A0E9D">
        <w:rPr>
          <w:sz w:val="22"/>
          <w:szCs w:val="22"/>
          <w:lang w:val="en-GB"/>
        </w:rPr>
        <w:t xml:space="preserve">All written communications for this tender procedure and contract must be in English. </w:t>
      </w:r>
    </w:p>
    <w:p w14:paraId="51333A39" w14:textId="77777777" w:rsidR="000A0E9D" w:rsidRPr="000A0E9D" w:rsidRDefault="000A0E9D" w:rsidP="000A0E9D">
      <w:pPr>
        <w:ind w:left="426" w:right="4"/>
        <w:jc w:val="both"/>
        <w:rPr>
          <w:sz w:val="22"/>
          <w:szCs w:val="22"/>
          <w:lang w:val="en-GB"/>
        </w:rPr>
      </w:pPr>
    </w:p>
    <w:p w14:paraId="354D8C34" w14:textId="77777777" w:rsidR="000A0E9D" w:rsidRPr="000A0E9D" w:rsidRDefault="000A0E9D" w:rsidP="000A0E9D">
      <w:pPr>
        <w:ind w:left="426" w:hanging="426"/>
        <w:rPr>
          <w:b/>
          <w:sz w:val="22"/>
          <w:szCs w:val="22"/>
          <w:lang w:val="en-GB"/>
        </w:rPr>
      </w:pPr>
      <w:r w:rsidRPr="000A0E9D">
        <w:rPr>
          <w:b/>
          <w:sz w:val="22"/>
          <w:szCs w:val="22"/>
          <w:lang w:val="en-GB"/>
        </w:rPr>
        <w:t>29.</w:t>
      </w:r>
      <w:r w:rsidRPr="000A0E9D">
        <w:rPr>
          <w:b/>
          <w:sz w:val="22"/>
          <w:szCs w:val="22"/>
          <w:lang w:val="en-GB"/>
        </w:rPr>
        <w:tab/>
        <w:t>Additional information</w:t>
      </w:r>
    </w:p>
    <w:p w14:paraId="7B086527" w14:textId="5BCF32DE" w:rsidR="000A0E9D" w:rsidRPr="000A0E9D" w:rsidRDefault="000A0E9D" w:rsidP="000A0E9D">
      <w:pPr>
        <w:widowControl/>
        <w:snapToGrid w:val="0"/>
        <w:spacing w:after="0"/>
        <w:ind w:left="426" w:right="360"/>
        <w:jc w:val="both"/>
        <w:rPr>
          <w:i/>
          <w:lang w:val="en-GB"/>
        </w:rPr>
      </w:pPr>
      <w:r w:rsidRPr="000A0E9D">
        <w:rPr>
          <w:szCs w:val="24"/>
          <w:lang w:val="en-GB"/>
        </w:rPr>
        <w:t xml:space="preserve">Financial data to be provided by the candidate in the standard application form or the tenderer in the tender form must be expressed in </w:t>
      </w:r>
      <w:r w:rsidRPr="000A0E9D">
        <w:rPr>
          <w:b/>
          <w:bCs/>
          <w:szCs w:val="24"/>
          <w:lang w:val="en-GB"/>
        </w:rPr>
        <w:t>EURO</w:t>
      </w:r>
      <w:r w:rsidRPr="000A0E9D">
        <w:rPr>
          <w:sz w:val="22"/>
          <w:szCs w:val="22"/>
          <w:lang w:val="en-GB"/>
        </w:rPr>
        <w:t xml:space="preserve">. Exchange rate shall be made in accordance with the InforEuro exchange rate of </w:t>
      </w:r>
      <w:r w:rsidR="00380126">
        <w:rPr>
          <w:sz w:val="22"/>
          <w:szCs w:val="22"/>
          <w:lang w:val="en-GB"/>
        </w:rPr>
        <w:t>March</w:t>
      </w:r>
      <w:r w:rsidRPr="000A0E9D">
        <w:rPr>
          <w:sz w:val="22"/>
          <w:szCs w:val="22"/>
          <w:lang w:val="en-GB"/>
        </w:rPr>
        <w:t xml:space="preserve"> 2022, the month and year corresponding to the deadline for submitting applications</w:t>
      </w:r>
    </w:p>
    <w:p w14:paraId="4B46394F" w14:textId="77777777" w:rsidR="000A0E9D" w:rsidRPr="00D225CC" w:rsidRDefault="000A0E9D" w:rsidP="007B234C">
      <w:pPr>
        <w:outlineLvl w:val="0"/>
        <w:rPr>
          <w:lang w:val="en-GB"/>
        </w:rPr>
      </w:pPr>
    </w:p>
    <w:sectPr w:rsidR="000A0E9D" w:rsidRPr="00D225CC" w:rsidSect="00BC34CF">
      <w:footerReference w:type="default" r:id="rId15"/>
      <w:pgSz w:w="12240" w:h="15840"/>
      <w:pgMar w:top="709" w:right="1440" w:bottom="1276" w:left="1418" w:header="851" w:footer="6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DEB35" w14:textId="77777777" w:rsidR="008036A7" w:rsidRDefault="008036A7">
      <w:r>
        <w:separator/>
      </w:r>
    </w:p>
  </w:endnote>
  <w:endnote w:type="continuationSeparator" w:id="0">
    <w:p w14:paraId="3BABB3A2" w14:textId="77777777" w:rsidR="008036A7" w:rsidRDefault="00803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68561" w14:textId="31F48525" w:rsidR="00B22E7F" w:rsidRDefault="00B22E7F" w:rsidP="003D4201">
    <w:pPr>
      <w:pStyle w:val="Footer"/>
      <w:tabs>
        <w:tab w:val="clear" w:pos="4320"/>
        <w:tab w:val="clear" w:pos="8640"/>
        <w:tab w:val="right" w:pos="9214"/>
      </w:tabs>
      <w:spacing w:before="120" w:after="0"/>
      <w:rPr>
        <w:b/>
        <w:sz w:val="18"/>
        <w:szCs w:val="18"/>
        <w:lang w:val="en-GB"/>
      </w:rPr>
    </w:pPr>
  </w:p>
  <w:p w14:paraId="0057A180" w14:textId="6292DBFE" w:rsidR="00EF0A8C" w:rsidRDefault="00EF0A8C" w:rsidP="009F128B">
    <w:pPr>
      <w:pStyle w:val="Footer"/>
      <w:tabs>
        <w:tab w:val="clear" w:pos="4320"/>
        <w:tab w:val="clear" w:pos="8640"/>
        <w:tab w:val="right" w:pos="9214"/>
      </w:tabs>
      <w:spacing w:before="0" w:after="0"/>
      <w:rPr>
        <w:b/>
        <w:sz w:val="20"/>
        <w:lang w:val="en-GB"/>
      </w:rPr>
    </w:pPr>
    <w:r>
      <w:rPr>
        <w:sz w:val="18"/>
        <w:szCs w:val="18"/>
        <w:lang w:val="en-GB"/>
      </w:rPr>
      <w:tab/>
    </w:r>
    <w:r w:rsidRPr="009F128B">
      <w:rPr>
        <w:sz w:val="18"/>
        <w:szCs w:val="18"/>
        <w:lang w:val="en-GB"/>
      </w:rPr>
      <w:t xml:space="preserve">Page </w:t>
    </w:r>
    <w:r w:rsidRPr="009F128B">
      <w:rPr>
        <w:rStyle w:val="PageNumber"/>
        <w:sz w:val="18"/>
        <w:szCs w:val="18"/>
      </w:rPr>
      <w:fldChar w:fldCharType="begin"/>
    </w:r>
    <w:r w:rsidRPr="009F128B">
      <w:rPr>
        <w:rStyle w:val="PageNumber"/>
        <w:sz w:val="18"/>
        <w:szCs w:val="18"/>
      </w:rPr>
      <w:instrText xml:space="preserve"> PAGE </w:instrText>
    </w:r>
    <w:r w:rsidRPr="009F128B">
      <w:rPr>
        <w:rStyle w:val="PageNumber"/>
        <w:sz w:val="18"/>
        <w:szCs w:val="18"/>
      </w:rPr>
      <w:fldChar w:fldCharType="separate"/>
    </w:r>
    <w:r w:rsidR="007B234C">
      <w:rPr>
        <w:rStyle w:val="PageNumber"/>
        <w:noProof/>
        <w:sz w:val="18"/>
        <w:szCs w:val="18"/>
      </w:rPr>
      <w:t>1</w:t>
    </w:r>
    <w:r w:rsidRPr="009F128B">
      <w:rPr>
        <w:rStyle w:val="PageNumber"/>
        <w:sz w:val="18"/>
        <w:szCs w:val="18"/>
      </w:rPr>
      <w:fldChar w:fldCharType="end"/>
    </w:r>
    <w:r w:rsidR="00B22E7F">
      <w:rPr>
        <w:rStyle w:val="PageNumber"/>
        <w:sz w:val="18"/>
        <w:szCs w:val="18"/>
      </w:rPr>
      <w:t xml:space="preserve"> of </w:t>
    </w:r>
    <w:r w:rsidR="00B22E7F">
      <w:rPr>
        <w:rStyle w:val="PageNumber"/>
        <w:sz w:val="18"/>
        <w:szCs w:val="18"/>
      </w:rPr>
      <w:fldChar w:fldCharType="begin"/>
    </w:r>
    <w:r w:rsidR="00B22E7F">
      <w:rPr>
        <w:rStyle w:val="PageNumber"/>
        <w:sz w:val="18"/>
        <w:szCs w:val="18"/>
      </w:rPr>
      <w:instrText xml:space="preserve"> NUMPAGES   \* MERGEFORMAT </w:instrText>
    </w:r>
    <w:r w:rsidR="00B22E7F">
      <w:rPr>
        <w:rStyle w:val="PageNumber"/>
        <w:sz w:val="18"/>
        <w:szCs w:val="18"/>
      </w:rPr>
      <w:fldChar w:fldCharType="separate"/>
    </w:r>
    <w:r w:rsidR="007B234C">
      <w:rPr>
        <w:rStyle w:val="PageNumber"/>
        <w:noProof/>
        <w:sz w:val="18"/>
        <w:szCs w:val="18"/>
      </w:rPr>
      <w:t>3</w:t>
    </w:r>
    <w:r w:rsidR="00B22E7F">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40DC9" w14:textId="77777777" w:rsidR="008036A7" w:rsidRDefault="008036A7">
      <w:r>
        <w:separator/>
      </w:r>
    </w:p>
  </w:footnote>
  <w:footnote w:type="continuationSeparator" w:id="0">
    <w:p w14:paraId="02F3021D" w14:textId="77777777" w:rsidR="008036A7" w:rsidRDefault="00803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15:restartNumberingAfterBreak="0">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15:restartNumberingAfterBreak="0">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15:restartNumberingAfterBreak="0">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15:restartNumberingAfterBreak="0">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15:restartNumberingAfterBreak="0">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15:restartNumberingAfterBreak="0">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15:restartNumberingAfterBreak="0">
    <w:nsid w:val="0000001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8" w15:restartNumberingAfterBreak="0">
    <w:nsid w:val="0000001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9" w15:restartNumberingAfterBreak="0">
    <w:nsid w:val="0000001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0" w15:restartNumberingAfterBreak="0">
    <w:nsid w:val="0000001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1" w15:restartNumberingAfterBreak="0">
    <w:nsid w:val="0000001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2" w15:restartNumberingAfterBreak="0">
    <w:nsid w:val="0000002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3" w15:restartNumberingAfterBreak="0">
    <w:nsid w:val="08AD7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0D4255EB"/>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36" w15:restartNumberingAfterBreak="0">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359A1F1A"/>
    <w:multiLevelType w:val="hybridMultilevel"/>
    <w:tmpl w:val="E392149A"/>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39"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4D0B5497"/>
    <w:multiLevelType w:val="hybridMultilevel"/>
    <w:tmpl w:val="DEEED3AE"/>
    <w:lvl w:ilvl="0" w:tplc="080C0015">
      <w:start w:val="1"/>
      <w:numFmt w:val="upp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3" w15:restartNumberingAfterBreak="0">
    <w:nsid w:val="4F1C3346"/>
    <w:multiLevelType w:val="hybridMultilevel"/>
    <w:tmpl w:val="8A8226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7"/>
  </w:num>
  <w:num w:numId="1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3"/>
  </w:num>
  <w:num w:numId="16">
    <w:abstractNumId w:val="15"/>
  </w:num>
  <w:num w:numId="17">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2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abstractNumId w:val="27"/>
  </w:num>
  <w:num w:numId="29">
    <w:abstractNumId w:val="27"/>
  </w:num>
  <w:num w:numId="30">
    <w:abstractNumId w:val="27"/>
  </w:num>
  <w:num w:numId="31">
    <w:abstractNumId w:val="27"/>
  </w:num>
  <w:num w:numId="3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3">
    <w:abstractNumId w:val="35"/>
  </w:num>
  <w:num w:numId="34">
    <w:abstractNumId w:val="41"/>
  </w:num>
  <w:num w:numId="35">
    <w:abstractNumId w:val="34"/>
  </w:num>
  <w:num w:numId="36">
    <w:abstractNumId w:val="33"/>
  </w:num>
  <w:num w:numId="37">
    <w:abstractNumId w:val="36"/>
  </w:num>
  <w:num w:numId="38">
    <w:abstractNumId w:val="39"/>
  </w:num>
  <w:num w:numId="39">
    <w:abstractNumId w:val="44"/>
  </w:num>
  <w:num w:numId="40">
    <w:abstractNumId w:val="45"/>
  </w:num>
  <w:num w:numId="41">
    <w:abstractNumId w:val="40"/>
  </w:num>
  <w:num w:numId="42">
    <w:abstractNumId w:val="43"/>
  </w:num>
  <w:num w:numId="43">
    <w:abstractNumId w:val="37"/>
  </w:num>
  <w:num w:numId="44">
    <w:abstractNumId w:val="38"/>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750FF8"/>
    <w:rsid w:val="00002D29"/>
    <w:rsid w:val="0000338D"/>
    <w:rsid w:val="0000712E"/>
    <w:rsid w:val="0000762C"/>
    <w:rsid w:val="00010B32"/>
    <w:rsid w:val="00012223"/>
    <w:rsid w:val="00012AF1"/>
    <w:rsid w:val="00013EB7"/>
    <w:rsid w:val="00013F0F"/>
    <w:rsid w:val="00014B76"/>
    <w:rsid w:val="00017E7C"/>
    <w:rsid w:val="0002004D"/>
    <w:rsid w:val="00022D5F"/>
    <w:rsid w:val="00024DAC"/>
    <w:rsid w:val="0003004C"/>
    <w:rsid w:val="00030ABC"/>
    <w:rsid w:val="000333FE"/>
    <w:rsid w:val="0003427A"/>
    <w:rsid w:val="00034D18"/>
    <w:rsid w:val="00035D4D"/>
    <w:rsid w:val="00045619"/>
    <w:rsid w:val="00045773"/>
    <w:rsid w:val="000503A2"/>
    <w:rsid w:val="000522D4"/>
    <w:rsid w:val="000617C9"/>
    <w:rsid w:val="0006203C"/>
    <w:rsid w:val="00063589"/>
    <w:rsid w:val="00063FB5"/>
    <w:rsid w:val="000677C2"/>
    <w:rsid w:val="00076F64"/>
    <w:rsid w:val="0008316A"/>
    <w:rsid w:val="00087A72"/>
    <w:rsid w:val="00095030"/>
    <w:rsid w:val="000950D5"/>
    <w:rsid w:val="000A0E9D"/>
    <w:rsid w:val="000A3758"/>
    <w:rsid w:val="000C1522"/>
    <w:rsid w:val="000C5B55"/>
    <w:rsid w:val="000E5BBC"/>
    <w:rsid w:val="000F0F6C"/>
    <w:rsid w:val="000F4D57"/>
    <w:rsid w:val="000F5DEF"/>
    <w:rsid w:val="0010162C"/>
    <w:rsid w:val="00105302"/>
    <w:rsid w:val="00110A94"/>
    <w:rsid w:val="00112210"/>
    <w:rsid w:val="00115D2F"/>
    <w:rsid w:val="00120298"/>
    <w:rsid w:val="00122B86"/>
    <w:rsid w:val="00126E99"/>
    <w:rsid w:val="00132F03"/>
    <w:rsid w:val="0014405E"/>
    <w:rsid w:val="00144547"/>
    <w:rsid w:val="0015107D"/>
    <w:rsid w:val="00155BF4"/>
    <w:rsid w:val="00162F40"/>
    <w:rsid w:val="001661F7"/>
    <w:rsid w:val="001707D5"/>
    <w:rsid w:val="0017184C"/>
    <w:rsid w:val="00180D47"/>
    <w:rsid w:val="00181270"/>
    <w:rsid w:val="00192D12"/>
    <w:rsid w:val="001951FE"/>
    <w:rsid w:val="00196F2A"/>
    <w:rsid w:val="001A0C86"/>
    <w:rsid w:val="001A1BE1"/>
    <w:rsid w:val="001B13B1"/>
    <w:rsid w:val="001B2571"/>
    <w:rsid w:val="001C3A54"/>
    <w:rsid w:val="001C64F1"/>
    <w:rsid w:val="001D19A6"/>
    <w:rsid w:val="001D55F7"/>
    <w:rsid w:val="001D5DEF"/>
    <w:rsid w:val="001E0BA5"/>
    <w:rsid w:val="001E50A2"/>
    <w:rsid w:val="001F08D0"/>
    <w:rsid w:val="001F120E"/>
    <w:rsid w:val="001F1546"/>
    <w:rsid w:val="001F47F3"/>
    <w:rsid w:val="001F5D80"/>
    <w:rsid w:val="00201320"/>
    <w:rsid w:val="00210466"/>
    <w:rsid w:val="00221CCE"/>
    <w:rsid w:val="00226829"/>
    <w:rsid w:val="00231106"/>
    <w:rsid w:val="00233B9D"/>
    <w:rsid w:val="00233DDA"/>
    <w:rsid w:val="00250A28"/>
    <w:rsid w:val="00266EB9"/>
    <w:rsid w:val="00282863"/>
    <w:rsid w:val="00290440"/>
    <w:rsid w:val="00290EBC"/>
    <w:rsid w:val="002976DE"/>
    <w:rsid w:val="00297B55"/>
    <w:rsid w:val="002A254C"/>
    <w:rsid w:val="002A484E"/>
    <w:rsid w:val="002C26E6"/>
    <w:rsid w:val="002C2D95"/>
    <w:rsid w:val="002D266E"/>
    <w:rsid w:val="002D4121"/>
    <w:rsid w:val="002D7249"/>
    <w:rsid w:val="002E1B83"/>
    <w:rsid w:val="002E7D33"/>
    <w:rsid w:val="002F47F3"/>
    <w:rsid w:val="002F58EB"/>
    <w:rsid w:val="0030090E"/>
    <w:rsid w:val="0030318D"/>
    <w:rsid w:val="003045C3"/>
    <w:rsid w:val="00313118"/>
    <w:rsid w:val="003232ED"/>
    <w:rsid w:val="003262FC"/>
    <w:rsid w:val="00330261"/>
    <w:rsid w:val="00332F90"/>
    <w:rsid w:val="003378F6"/>
    <w:rsid w:val="00342E7F"/>
    <w:rsid w:val="00345518"/>
    <w:rsid w:val="00346B3B"/>
    <w:rsid w:val="00347673"/>
    <w:rsid w:val="0036159C"/>
    <w:rsid w:val="003717BC"/>
    <w:rsid w:val="00371FD9"/>
    <w:rsid w:val="00372452"/>
    <w:rsid w:val="00380126"/>
    <w:rsid w:val="0038633F"/>
    <w:rsid w:val="00386E96"/>
    <w:rsid w:val="0038796E"/>
    <w:rsid w:val="003947E7"/>
    <w:rsid w:val="00397073"/>
    <w:rsid w:val="00397634"/>
    <w:rsid w:val="003A2E1C"/>
    <w:rsid w:val="003A4357"/>
    <w:rsid w:val="003A7E14"/>
    <w:rsid w:val="003B3E06"/>
    <w:rsid w:val="003B43A8"/>
    <w:rsid w:val="003B55F6"/>
    <w:rsid w:val="003C10AA"/>
    <w:rsid w:val="003C2D69"/>
    <w:rsid w:val="003C555B"/>
    <w:rsid w:val="003D195A"/>
    <w:rsid w:val="003D2ADD"/>
    <w:rsid w:val="003D4201"/>
    <w:rsid w:val="003D6B49"/>
    <w:rsid w:val="003E3A87"/>
    <w:rsid w:val="003F32FF"/>
    <w:rsid w:val="003F4188"/>
    <w:rsid w:val="003F554E"/>
    <w:rsid w:val="0040360C"/>
    <w:rsid w:val="0040443B"/>
    <w:rsid w:val="0042033D"/>
    <w:rsid w:val="00424124"/>
    <w:rsid w:val="00426624"/>
    <w:rsid w:val="0043190A"/>
    <w:rsid w:val="00434A54"/>
    <w:rsid w:val="0043637D"/>
    <w:rsid w:val="004405D2"/>
    <w:rsid w:val="00447D77"/>
    <w:rsid w:val="0045124A"/>
    <w:rsid w:val="00452327"/>
    <w:rsid w:val="0045494F"/>
    <w:rsid w:val="00470018"/>
    <w:rsid w:val="00471180"/>
    <w:rsid w:val="00473883"/>
    <w:rsid w:val="0047646C"/>
    <w:rsid w:val="00476D80"/>
    <w:rsid w:val="00477B20"/>
    <w:rsid w:val="00482B9A"/>
    <w:rsid w:val="00484BEE"/>
    <w:rsid w:val="004853B9"/>
    <w:rsid w:val="004901C2"/>
    <w:rsid w:val="004957E5"/>
    <w:rsid w:val="004B0F8B"/>
    <w:rsid w:val="004B5DCF"/>
    <w:rsid w:val="004C0A56"/>
    <w:rsid w:val="004C49B2"/>
    <w:rsid w:val="004C68B3"/>
    <w:rsid w:val="004E083B"/>
    <w:rsid w:val="004E1482"/>
    <w:rsid w:val="004E69A4"/>
    <w:rsid w:val="004F00C7"/>
    <w:rsid w:val="004F2332"/>
    <w:rsid w:val="004F34C4"/>
    <w:rsid w:val="004F3BBC"/>
    <w:rsid w:val="004F4A09"/>
    <w:rsid w:val="004F74D1"/>
    <w:rsid w:val="00500794"/>
    <w:rsid w:val="005012DF"/>
    <w:rsid w:val="00502217"/>
    <w:rsid w:val="00503CD9"/>
    <w:rsid w:val="005046CD"/>
    <w:rsid w:val="00505437"/>
    <w:rsid w:val="005070DB"/>
    <w:rsid w:val="00507BFE"/>
    <w:rsid w:val="00511119"/>
    <w:rsid w:val="005125DB"/>
    <w:rsid w:val="0051514D"/>
    <w:rsid w:val="00516C38"/>
    <w:rsid w:val="00523826"/>
    <w:rsid w:val="00524367"/>
    <w:rsid w:val="00533CE6"/>
    <w:rsid w:val="0054183B"/>
    <w:rsid w:val="0055037B"/>
    <w:rsid w:val="005558E0"/>
    <w:rsid w:val="0056183E"/>
    <w:rsid w:val="00565A69"/>
    <w:rsid w:val="00571687"/>
    <w:rsid w:val="00571989"/>
    <w:rsid w:val="00572F15"/>
    <w:rsid w:val="00581953"/>
    <w:rsid w:val="00583EC9"/>
    <w:rsid w:val="00584BF4"/>
    <w:rsid w:val="00584D96"/>
    <w:rsid w:val="005908F0"/>
    <w:rsid w:val="00590ADB"/>
    <w:rsid w:val="005B13A4"/>
    <w:rsid w:val="005B2FB5"/>
    <w:rsid w:val="005B35A2"/>
    <w:rsid w:val="005B3ED3"/>
    <w:rsid w:val="005B48D0"/>
    <w:rsid w:val="005B4F80"/>
    <w:rsid w:val="005D0AD5"/>
    <w:rsid w:val="005D3D85"/>
    <w:rsid w:val="005D720E"/>
    <w:rsid w:val="005E3AE0"/>
    <w:rsid w:val="005E3EEE"/>
    <w:rsid w:val="005E53BD"/>
    <w:rsid w:val="005F776D"/>
    <w:rsid w:val="00603F87"/>
    <w:rsid w:val="0061336A"/>
    <w:rsid w:val="00626BBA"/>
    <w:rsid w:val="00627FB4"/>
    <w:rsid w:val="00637237"/>
    <w:rsid w:val="0064066F"/>
    <w:rsid w:val="0064390B"/>
    <w:rsid w:val="00651CAF"/>
    <w:rsid w:val="00652EFC"/>
    <w:rsid w:val="006552B5"/>
    <w:rsid w:val="00663C6D"/>
    <w:rsid w:val="006738B9"/>
    <w:rsid w:val="00674F9C"/>
    <w:rsid w:val="0067554A"/>
    <w:rsid w:val="00675EEE"/>
    <w:rsid w:val="006770CA"/>
    <w:rsid w:val="00686C3A"/>
    <w:rsid w:val="0068769C"/>
    <w:rsid w:val="00697F82"/>
    <w:rsid w:val="006A0175"/>
    <w:rsid w:val="006A0598"/>
    <w:rsid w:val="006A2F21"/>
    <w:rsid w:val="006A3716"/>
    <w:rsid w:val="006A66DA"/>
    <w:rsid w:val="006A7394"/>
    <w:rsid w:val="006B198C"/>
    <w:rsid w:val="006B2F6C"/>
    <w:rsid w:val="006B3D18"/>
    <w:rsid w:val="006B59B9"/>
    <w:rsid w:val="006C0EB6"/>
    <w:rsid w:val="006C0F37"/>
    <w:rsid w:val="006D6080"/>
    <w:rsid w:val="006E3377"/>
    <w:rsid w:val="006E625F"/>
    <w:rsid w:val="006F2947"/>
    <w:rsid w:val="006F2AE0"/>
    <w:rsid w:val="006F532D"/>
    <w:rsid w:val="006F5FD0"/>
    <w:rsid w:val="00710A38"/>
    <w:rsid w:val="00711589"/>
    <w:rsid w:val="00711AAE"/>
    <w:rsid w:val="007121FB"/>
    <w:rsid w:val="007129D6"/>
    <w:rsid w:val="00712CB3"/>
    <w:rsid w:val="00715755"/>
    <w:rsid w:val="00727652"/>
    <w:rsid w:val="00735C56"/>
    <w:rsid w:val="00745DBA"/>
    <w:rsid w:val="00746DDB"/>
    <w:rsid w:val="007471C5"/>
    <w:rsid w:val="00750FF8"/>
    <w:rsid w:val="00752A71"/>
    <w:rsid w:val="00753FC2"/>
    <w:rsid w:val="00756C38"/>
    <w:rsid w:val="00761673"/>
    <w:rsid w:val="00761893"/>
    <w:rsid w:val="007653F4"/>
    <w:rsid w:val="007727F3"/>
    <w:rsid w:val="00783B39"/>
    <w:rsid w:val="007955F2"/>
    <w:rsid w:val="00795842"/>
    <w:rsid w:val="00795E5F"/>
    <w:rsid w:val="007A04AC"/>
    <w:rsid w:val="007B234C"/>
    <w:rsid w:val="007C136C"/>
    <w:rsid w:val="007C201A"/>
    <w:rsid w:val="007C352C"/>
    <w:rsid w:val="007C593F"/>
    <w:rsid w:val="007D29AC"/>
    <w:rsid w:val="007D2FCB"/>
    <w:rsid w:val="007D6292"/>
    <w:rsid w:val="007D761E"/>
    <w:rsid w:val="007E063C"/>
    <w:rsid w:val="007E153C"/>
    <w:rsid w:val="007E5045"/>
    <w:rsid w:val="007E53DA"/>
    <w:rsid w:val="007F095B"/>
    <w:rsid w:val="007F0984"/>
    <w:rsid w:val="007F1048"/>
    <w:rsid w:val="007F5383"/>
    <w:rsid w:val="008001B4"/>
    <w:rsid w:val="00800827"/>
    <w:rsid w:val="008036A7"/>
    <w:rsid w:val="008162F6"/>
    <w:rsid w:val="008272C0"/>
    <w:rsid w:val="008323D3"/>
    <w:rsid w:val="008351FF"/>
    <w:rsid w:val="00845D2E"/>
    <w:rsid w:val="00851792"/>
    <w:rsid w:val="00853875"/>
    <w:rsid w:val="00855235"/>
    <w:rsid w:val="00860295"/>
    <w:rsid w:val="0088068C"/>
    <w:rsid w:val="00892A43"/>
    <w:rsid w:val="008938FF"/>
    <w:rsid w:val="00894E29"/>
    <w:rsid w:val="0089693D"/>
    <w:rsid w:val="008A1514"/>
    <w:rsid w:val="008A377D"/>
    <w:rsid w:val="008C2513"/>
    <w:rsid w:val="008C3178"/>
    <w:rsid w:val="008C5B63"/>
    <w:rsid w:val="008C68A0"/>
    <w:rsid w:val="008D02FF"/>
    <w:rsid w:val="008D1243"/>
    <w:rsid w:val="008D243C"/>
    <w:rsid w:val="008E2D12"/>
    <w:rsid w:val="008F13BB"/>
    <w:rsid w:val="008F4ED2"/>
    <w:rsid w:val="009044E4"/>
    <w:rsid w:val="009055F3"/>
    <w:rsid w:val="009066B6"/>
    <w:rsid w:val="00907556"/>
    <w:rsid w:val="00913817"/>
    <w:rsid w:val="00924137"/>
    <w:rsid w:val="00925F7F"/>
    <w:rsid w:val="0092731B"/>
    <w:rsid w:val="00947EF4"/>
    <w:rsid w:val="00952960"/>
    <w:rsid w:val="00954440"/>
    <w:rsid w:val="00960A2B"/>
    <w:rsid w:val="00965CEE"/>
    <w:rsid w:val="009707C4"/>
    <w:rsid w:val="00970B01"/>
    <w:rsid w:val="00971CC5"/>
    <w:rsid w:val="009874BD"/>
    <w:rsid w:val="009900DD"/>
    <w:rsid w:val="00990B40"/>
    <w:rsid w:val="00991002"/>
    <w:rsid w:val="009B06B5"/>
    <w:rsid w:val="009B0DBF"/>
    <w:rsid w:val="009B5E33"/>
    <w:rsid w:val="009B6F36"/>
    <w:rsid w:val="009C0E9E"/>
    <w:rsid w:val="009C4007"/>
    <w:rsid w:val="009C7312"/>
    <w:rsid w:val="009D6350"/>
    <w:rsid w:val="009D6916"/>
    <w:rsid w:val="009E4662"/>
    <w:rsid w:val="009E5005"/>
    <w:rsid w:val="009F128B"/>
    <w:rsid w:val="00A03055"/>
    <w:rsid w:val="00A11931"/>
    <w:rsid w:val="00A171EA"/>
    <w:rsid w:val="00A22177"/>
    <w:rsid w:val="00A2314D"/>
    <w:rsid w:val="00A2523F"/>
    <w:rsid w:val="00A401B7"/>
    <w:rsid w:val="00A433A6"/>
    <w:rsid w:val="00A43E7A"/>
    <w:rsid w:val="00A46ED3"/>
    <w:rsid w:val="00A525AF"/>
    <w:rsid w:val="00A54502"/>
    <w:rsid w:val="00A70611"/>
    <w:rsid w:val="00A7101F"/>
    <w:rsid w:val="00A73E50"/>
    <w:rsid w:val="00A7648B"/>
    <w:rsid w:val="00A779FE"/>
    <w:rsid w:val="00A77B07"/>
    <w:rsid w:val="00A84E04"/>
    <w:rsid w:val="00A853CC"/>
    <w:rsid w:val="00A91076"/>
    <w:rsid w:val="00A96048"/>
    <w:rsid w:val="00A97B08"/>
    <w:rsid w:val="00AA3505"/>
    <w:rsid w:val="00AA5256"/>
    <w:rsid w:val="00AA7762"/>
    <w:rsid w:val="00AB00B8"/>
    <w:rsid w:val="00AB32E4"/>
    <w:rsid w:val="00AB4DF6"/>
    <w:rsid w:val="00AB7DAB"/>
    <w:rsid w:val="00AC0623"/>
    <w:rsid w:val="00AC0D0C"/>
    <w:rsid w:val="00AC2433"/>
    <w:rsid w:val="00AC2A41"/>
    <w:rsid w:val="00AC674C"/>
    <w:rsid w:val="00AD330A"/>
    <w:rsid w:val="00AD56A6"/>
    <w:rsid w:val="00AD5F08"/>
    <w:rsid w:val="00AD75FB"/>
    <w:rsid w:val="00AE1D8D"/>
    <w:rsid w:val="00AE6A5B"/>
    <w:rsid w:val="00AE7F65"/>
    <w:rsid w:val="00AF7BB3"/>
    <w:rsid w:val="00B063F9"/>
    <w:rsid w:val="00B112A1"/>
    <w:rsid w:val="00B14398"/>
    <w:rsid w:val="00B17284"/>
    <w:rsid w:val="00B22E7F"/>
    <w:rsid w:val="00B304D7"/>
    <w:rsid w:val="00B30DFF"/>
    <w:rsid w:val="00B46840"/>
    <w:rsid w:val="00B513FE"/>
    <w:rsid w:val="00B5587D"/>
    <w:rsid w:val="00B56D0A"/>
    <w:rsid w:val="00B60EC5"/>
    <w:rsid w:val="00B72045"/>
    <w:rsid w:val="00B740D9"/>
    <w:rsid w:val="00B74AA7"/>
    <w:rsid w:val="00B7586A"/>
    <w:rsid w:val="00B76345"/>
    <w:rsid w:val="00B84AED"/>
    <w:rsid w:val="00B87294"/>
    <w:rsid w:val="00B877B2"/>
    <w:rsid w:val="00B879BF"/>
    <w:rsid w:val="00B92478"/>
    <w:rsid w:val="00BA0765"/>
    <w:rsid w:val="00BA0EC9"/>
    <w:rsid w:val="00BA1E67"/>
    <w:rsid w:val="00BA4DA9"/>
    <w:rsid w:val="00BB2689"/>
    <w:rsid w:val="00BB68B0"/>
    <w:rsid w:val="00BC00A1"/>
    <w:rsid w:val="00BC0714"/>
    <w:rsid w:val="00BC34CF"/>
    <w:rsid w:val="00BC353E"/>
    <w:rsid w:val="00BD552F"/>
    <w:rsid w:val="00BE595A"/>
    <w:rsid w:val="00BE6FAB"/>
    <w:rsid w:val="00BE783C"/>
    <w:rsid w:val="00BE7B3C"/>
    <w:rsid w:val="00BF5FBD"/>
    <w:rsid w:val="00C00D44"/>
    <w:rsid w:val="00C03806"/>
    <w:rsid w:val="00C06736"/>
    <w:rsid w:val="00C10475"/>
    <w:rsid w:val="00C106C1"/>
    <w:rsid w:val="00C14AF2"/>
    <w:rsid w:val="00C171B6"/>
    <w:rsid w:val="00C2452B"/>
    <w:rsid w:val="00C27405"/>
    <w:rsid w:val="00C30183"/>
    <w:rsid w:val="00C3644F"/>
    <w:rsid w:val="00C460D8"/>
    <w:rsid w:val="00C545B1"/>
    <w:rsid w:val="00C579ED"/>
    <w:rsid w:val="00C70AAE"/>
    <w:rsid w:val="00C712DE"/>
    <w:rsid w:val="00C8296E"/>
    <w:rsid w:val="00C83C65"/>
    <w:rsid w:val="00C840D0"/>
    <w:rsid w:val="00C90172"/>
    <w:rsid w:val="00C9751F"/>
    <w:rsid w:val="00C9783F"/>
    <w:rsid w:val="00CA3B1B"/>
    <w:rsid w:val="00CA58B5"/>
    <w:rsid w:val="00CB244C"/>
    <w:rsid w:val="00CB759D"/>
    <w:rsid w:val="00CC0A41"/>
    <w:rsid w:val="00CC1F21"/>
    <w:rsid w:val="00CC3BA0"/>
    <w:rsid w:val="00CC6A3D"/>
    <w:rsid w:val="00CC6D8C"/>
    <w:rsid w:val="00CC765C"/>
    <w:rsid w:val="00CD15CC"/>
    <w:rsid w:val="00CD38DB"/>
    <w:rsid w:val="00CD75F8"/>
    <w:rsid w:val="00CE1FD0"/>
    <w:rsid w:val="00CE7536"/>
    <w:rsid w:val="00CF0E53"/>
    <w:rsid w:val="00CF366A"/>
    <w:rsid w:val="00D00216"/>
    <w:rsid w:val="00D00DBC"/>
    <w:rsid w:val="00D011CD"/>
    <w:rsid w:val="00D0254B"/>
    <w:rsid w:val="00D225CC"/>
    <w:rsid w:val="00D22682"/>
    <w:rsid w:val="00D240C3"/>
    <w:rsid w:val="00D25196"/>
    <w:rsid w:val="00D339BD"/>
    <w:rsid w:val="00D36765"/>
    <w:rsid w:val="00D40309"/>
    <w:rsid w:val="00D46724"/>
    <w:rsid w:val="00D517A4"/>
    <w:rsid w:val="00D53C59"/>
    <w:rsid w:val="00D549F4"/>
    <w:rsid w:val="00D640F5"/>
    <w:rsid w:val="00D674F6"/>
    <w:rsid w:val="00D67CD8"/>
    <w:rsid w:val="00D67F00"/>
    <w:rsid w:val="00D714E2"/>
    <w:rsid w:val="00D76090"/>
    <w:rsid w:val="00D80D74"/>
    <w:rsid w:val="00D82AA0"/>
    <w:rsid w:val="00D8779C"/>
    <w:rsid w:val="00DA098F"/>
    <w:rsid w:val="00DA0ABA"/>
    <w:rsid w:val="00DA4719"/>
    <w:rsid w:val="00DB0E68"/>
    <w:rsid w:val="00DB35A9"/>
    <w:rsid w:val="00DB711B"/>
    <w:rsid w:val="00DC0253"/>
    <w:rsid w:val="00DC4F70"/>
    <w:rsid w:val="00DC6C9C"/>
    <w:rsid w:val="00DC753D"/>
    <w:rsid w:val="00DD0CD4"/>
    <w:rsid w:val="00DD6CBD"/>
    <w:rsid w:val="00DD759E"/>
    <w:rsid w:val="00DE1061"/>
    <w:rsid w:val="00DE2699"/>
    <w:rsid w:val="00DE28AE"/>
    <w:rsid w:val="00DE7B12"/>
    <w:rsid w:val="00DF658C"/>
    <w:rsid w:val="00DF6FF6"/>
    <w:rsid w:val="00E1782A"/>
    <w:rsid w:val="00E17A2E"/>
    <w:rsid w:val="00E25542"/>
    <w:rsid w:val="00E2770C"/>
    <w:rsid w:val="00E30BB5"/>
    <w:rsid w:val="00E31447"/>
    <w:rsid w:val="00E422A2"/>
    <w:rsid w:val="00E51C35"/>
    <w:rsid w:val="00E72396"/>
    <w:rsid w:val="00E734C8"/>
    <w:rsid w:val="00E813B7"/>
    <w:rsid w:val="00E81F05"/>
    <w:rsid w:val="00E82874"/>
    <w:rsid w:val="00E878F9"/>
    <w:rsid w:val="00E9047D"/>
    <w:rsid w:val="00E95E44"/>
    <w:rsid w:val="00EA399C"/>
    <w:rsid w:val="00EB32FA"/>
    <w:rsid w:val="00EB4C19"/>
    <w:rsid w:val="00EB6589"/>
    <w:rsid w:val="00EC4B10"/>
    <w:rsid w:val="00ED2177"/>
    <w:rsid w:val="00ED3B60"/>
    <w:rsid w:val="00EE6E92"/>
    <w:rsid w:val="00EF03C9"/>
    <w:rsid w:val="00EF0A8C"/>
    <w:rsid w:val="00EF2B16"/>
    <w:rsid w:val="00EF5C07"/>
    <w:rsid w:val="00EF6A28"/>
    <w:rsid w:val="00EF6FBF"/>
    <w:rsid w:val="00EF74CF"/>
    <w:rsid w:val="00F05BF1"/>
    <w:rsid w:val="00F10E8E"/>
    <w:rsid w:val="00F1113D"/>
    <w:rsid w:val="00F209A9"/>
    <w:rsid w:val="00F233FF"/>
    <w:rsid w:val="00F23829"/>
    <w:rsid w:val="00F27556"/>
    <w:rsid w:val="00F27C45"/>
    <w:rsid w:val="00F34407"/>
    <w:rsid w:val="00F3539A"/>
    <w:rsid w:val="00F54A52"/>
    <w:rsid w:val="00F646C6"/>
    <w:rsid w:val="00F72D9F"/>
    <w:rsid w:val="00F7452A"/>
    <w:rsid w:val="00F76D55"/>
    <w:rsid w:val="00F800AF"/>
    <w:rsid w:val="00F82AA4"/>
    <w:rsid w:val="00F84498"/>
    <w:rsid w:val="00F91683"/>
    <w:rsid w:val="00FA0F43"/>
    <w:rsid w:val="00FA17FC"/>
    <w:rsid w:val="00FA43CC"/>
    <w:rsid w:val="00FB17AC"/>
    <w:rsid w:val="00FB7051"/>
    <w:rsid w:val="00FC08E1"/>
    <w:rsid w:val="00FC622D"/>
    <w:rsid w:val="00FE62A5"/>
    <w:rsid w:val="00FE6A9C"/>
    <w:rsid w:val="00FE6CB8"/>
    <w:rsid w:val="00FF1D0B"/>
    <w:rsid w:val="00FF77D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9A7C5"/>
  <w15:chartTrackingRefBased/>
  <w15:docId w15:val="{91D61552-E3E8-451C-A2C6-64E6627B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before="100" w:after="100"/>
    </w:pPr>
    <w:rPr>
      <w:snapToGrid w:val="0"/>
      <w:sz w:val="24"/>
      <w:lang w:val="en-US" w:eastAsia="en-US"/>
    </w:rPr>
  </w:style>
  <w:style w:type="paragraph" w:styleId="Heading2">
    <w:name w:val="heading 2"/>
    <w:basedOn w:val="Normal"/>
    <w:next w:val="Normal"/>
    <w:qFormat/>
    <w:rsid w:val="007D6292"/>
    <w:pPr>
      <w:keepNext/>
      <w:widowControl/>
      <w:spacing w:before="120" w:after="120"/>
      <w:outlineLvl w:val="1"/>
    </w:pPr>
    <w:rPr>
      <w:rFonts w:ascii="Arial" w:hAnsi="Arial"/>
      <w:sz w:val="20"/>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rsid w:val="007F095B"/>
  </w:style>
  <w:style w:type="paragraph" w:styleId="BodyText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paragraph" w:styleId="FootnoteText">
    <w:name w:val="footnote text"/>
    <w:basedOn w:val="Normal"/>
    <w:semiHidden/>
    <w:rsid w:val="001951FE"/>
    <w:rPr>
      <w:sz w:val="20"/>
    </w:rPr>
  </w:style>
  <w:style w:type="character" w:styleId="FootnoteReference">
    <w:name w:val="footnote reference"/>
    <w:semiHidden/>
    <w:rsid w:val="001951FE"/>
    <w:rPr>
      <w:vertAlign w:val="superscript"/>
    </w:rPr>
  </w:style>
  <w:style w:type="character" w:customStyle="1" w:styleId="FooterChar">
    <w:name w:val="Footer Char"/>
    <w:link w:val="Footer"/>
    <w:rsid w:val="007727F3"/>
    <w:rPr>
      <w:snapToGrid w:val="0"/>
      <w:sz w:val="24"/>
      <w:lang w:val="en-US" w:eastAsia="en-US"/>
    </w:rPr>
  </w:style>
  <w:style w:type="paragraph" w:styleId="BalloonText">
    <w:name w:val="Balloon Text"/>
    <w:basedOn w:val="Normal"/>
    <w:link w:val="BalloonTextChar"/>
    <w:rsid w:val="00D240C3"/>
    <w:pPr>
      <w:spacing w:before="0" w:after="0"/>
    </w:pPr>
    <w:rPr>
      <w:rFonts w:ascii="Tahoma" w:hAnsi="Tahoma" w:cs="Tahoma"/>
      <w:sz w:val="16"/>
      <w:szCs w:val="16"/>
    </w:rPr>
  </w:style>
  <w:style w:type="character" w:customStyle="1" w:styleId="BalloonTextChar">
    <w:name w:val="Balloon Text Char"/>
    <w:link w:val="BalloonText"/>
    <w:rsid w:val="00D240C3"/>
    <w:rPr>
      <w:rFonts w:ascii="Tahoma" w:hAnsi="Tahoma" w:cs="Tahoma"/>
      <w:snapToGrid w:val="0"/>
      <w:sz w:val="16"/>
      <w:szCs w:val="16"/>
      <w:lang w:val="en-US" w:eastAsia="en-US"/>
    </w:rPr>
  </w:style>
  <w:style w:type="paragraph" w:styleId="NormalWeb">
    <w:name w:val="Normal (Web)"/>
    <w:basedOn w:val="Normal"/>
    <w:uiPriority w:val="99"/>
    <w:unhideWhenUsed/>
    <w:rsid w:val="001F5D80"/>
    <w:pPr>
      <w:widowControl/>
      <w:spacing w:beforeAutospacing="1" w:afterAutospacing="1"/>
    </w:pPr>
    <w:rPr>
      <w:snapToGrid/>
      <w:szCs w:val="24"/>
      <w:lang w:val="en-GB" w:eastAsia="en-GB"/>
    </w:rPr>
  </w:style>
  <w:style w:type="character" w:styleId="CommentReference">
    <w:name w:val="annotation reference"/>
    <w:rsid w:val="00BC0714"/>
    <w:rPr>
      <w:sz w:val="16"/>
      <w:szCs w:val="16"/>
    </w:rPr>
  </w:style>
  <w:style w:type="paragraph" w:styleId="CommentText">
    <w:name w:val="annotation text"/>
    <w:basedOn w:val="Normal"/>
    <w:link w:val="CommentTextChar"/>
    <w:rsid w:val="00BC0714"/>
    <w:rPr>
      <w:sz w:val="20"/>
    </w:rPr>
  </w:style>
  <w:style w:type="character" w:customStyle="1" w:styleId="CommentTextChar">
    <w:name w:val="Comment Text Char"/>
    <w:link w:val="CommentText"/>
    <w:rsid w:val="00BC0714"/>
    <w:rPr>
      <w:snapToGrid w:val="0"/>
      <w:lang w:val="en-US" w:eastAsia="en-US"/>
    </w:rPr>
  </w:style>
  <w:style w:type="paragraph" w:styleId="CommentSubject">
    <w:name w:val="annotation subject"/>
    <w:basedOn w:val="CommentText"/>
    <w:next w:val="CommentText"/>
    <w:link w:val="CommentSubjectChar"/>
    <w:rsid w:val="00BC0714"/>
    <w:rPr>
      <w:b/>
      <w:bCs/>
    </w:rPr>
  </w:style>
  <w:style w:type="character" w:customStyle="1" w:styleId="CommentSubjectChar">
    <w:name w:val="Comment Subject Char"/>
    <w:link w:val="CommentSubject"/>
    <w:rsid w:val="00BC0714"/>
    <w:rPr>
      <w:b/>
      <w:bCs/>
      <w:snapToGrid w:val="0"/>
      <w:lang w:val="en-US" w:eastAsia="en-US"/>
    </w:rPr>
  </w:style>
  <w:style w:type="character" w:customStyle="1" w:styleId="FunoteChar">
    <w:name w:val="Fußnote Char"/>
    <w:aliases w:val="Fußnotentextf Char,Note de bas de page Car Car Car Car Car Car Car Car Car Car Char,Note de bas de page Car Car Car Car Char,Note de bas de page Car Car Car Car Car Car Car Car Car Char,ft Char,f Char"/>
    <w:uiPriority w:val="99"/>
    <w:rsid w:val="006A3716"/>
    <w:rPr>
      <w:rFonts w:ascii="Times New Roman" w:eastAsia="Times New Roman" w:hAnsi="Times New Roman" w:cs="Times New Roman"/>
    </w:rPr>
  </w:style>
  <w:style w:type="paragraph" w:customStyle="1" w:styleId="PRAGHeading2">
    <w:name w:val="PRAG Heading 2"/>
    <w:basedOn w:val="Normal"/>
    <w:rsid w:val="00E25542"/>
    <w:pPr>
      <w:numPr>
        <w:numId w:val="43"/>
      </w:numPr>
    </w:pPr>
  </w:style>
  <w:style w:type="paragraph" w:styleId="EndnoteText">
    <w:name w:val="endnote text"/>
    <w:basedOn w:val="Normal"/>
    <w:link w:val="EndnoteTextChar"/>
    <w:rsid w:val="005B3ED3"/>
    <w:rPr>
      <w:sz w:val="20"/>
    </w:rPr>
  </w:style>
  <w:style w:type="character" w:customStyle="1" w:styleId="EndnoteTextChar">
    <w:name w:val="Endnote Text Char"/>
    <w:link w:val="EndnoteText"/>
    <w:rsid w:val="005B3ED3"/>
    <w:rPr>
      <w:snapToGrid w:val="0"/>
      <w:lang w:val="en-US" w:eastAsia="en-US"/>
    </w:rPr>
  </w:style>
  <w:style w:type="paragraph" w:styleId="Subtitle">
    <w:name w:val="Subtitle"/>
    <w:basedOn w:val="Normal"/>
    <w:link w:val="SubtitleChar"/>
    <w:qFormat/>
    <w:rsid w:val="00EF74CF"/>
    <w:pPr>
      <w:widowControl/>
      <w:spacing w:before="120" w:after="120"/>
      <w:jc w:val="center"/>
    </w:pPr>
    <w:rPr>
      <w:rFonts w:ascii="Arial" w:hAnsi="Arial"/>
      <w:b/>
      <w:sz w:val="28"/>
      <w:lang w:val="fr-BE"/>
    </w:rPr>
  </w:style>
  <w:style w:type="character" w:customStyle="1" w:styleId="SubtitleChar">
    <w:name w:val="Subtitle Char"/>
    <w:basedOn w:val="DefaultParagraphFont"/>
    <w:link w:val="Subtitle"/>
    <w:rsid w:val="00EF74CF"/>
    <w:rPr>
      <w:rFonts w:ascii="Arial" w:hAnsi="Arial"/>
      <w:b/>
      <w:snapToGrid w:val="0"/>
      <w:sz w:val="28"/>
      <w:lang w:eastAsia="en-US"/>
    </w:rPr>
  </w:style>
  <w:style w:type="character" w:styleId="UnresolvedMention">
    <w:name w:val="Unresolved Mention"/>
    <w:basedOn w:val="DefaultParagraphFont"/>
    <w:uiPriority w:val="99"/>
    <w:semiHidden/>
    <w:unhideWhenUsed/>
    <w:rsid w:val="00132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23904">
      <w:bodyDiv w:val="1"/>
      <w:marLeft w:val="0"/>
      <w:marRight w:val="0"/>
      <w:marTop w:val="0"/>
      <w:marBottom w:val="0"/>
      <w:divBdr>
        <w:top w:val="none" w:sz="0" w:space="0" w:color="auto"/>
        <w:left w:val="none" w:sz="0" w:space="0" w:color="auto"/>
        <w:bottom w:val="none" w:sz="0" w:space="0" w:color="auto"/>
        <w:right w:val="none" w:sz="0" w:space="0" w:color="auto"/>
      </w:divBdr>
    </w:div>
    <w:div w:id="144199611">
      <w:bodyDiv w:val="1"/>
      <w:marLeft w:val="0"/>
      <w:marRight w:val="0"/>
      <w:marTop w:val="0"/>
      <w:marBottom w:val="0"/>
      <w:divBdr>
        <w:top w:val="none" w:sz="0" w:space="0" w:color="auto"/>
        <w:left w:val="none" w:sz="0" w:space="0" w:color="auto"/>
        <w:bottom w:val="none" w:sz="0" w:space="0" w:color="auto"/>
        <w:right w:val="none" w:sz="0" w:space="0" w:color="auto"/>
      </w:divBdr>
      <w:divsChild>
        <w:div w:id="1285423428">
          <w:marLeft w:val="0"/>
          <w:marRight w:val="0"/>
          <w:marTop w:val="0"/>
          <w:marBottom w:val="0"/>
          <w:divBdr>
            <w:top w:val="none" w:sz="0" w:space="0" w:color="auto"/>
            <w:left w:val="none" w:sz="0" w:space="0" w:color="auto"/>
            <w:bottom w:val="none" w:sz="0" w:space="0" w:color="auto"/>
            <w:right w:val="none" w:sz="0" w:space="0" w:color="auto"/>
          </w:divBdr>
          <w:divsChild>
            <w:div w:id="1638997920">
              <w:marLeft w:val="0"/>
              <w:marRight w:val="0"/>
              <w:marTop w:val="0"/>
              <w:marBottom w:val="0"/>
              <w:divBdr>
                <w:top w:val="none" w:sz="0" w:space="0" w:color="auto"/>
                <w:left w:val="none" w:sz="0" w:space="0" w:color="auto"/>
                <w:bottom w:val="none" w:sz="0" w:space="0" w:color="auto"/>
                <w:right w:val="none" w:sz="0" w:space="0" w:color="auto"/>
              </w:divBdr>
              <w:divsChild>
                <w:div w:id="17825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90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curement@icpac.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gad.i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pac.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ocurement@icpac.ne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rocurement@icpac.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DEFF8-FA83-417B-9D56-03B56676B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1532</Words>
  <Characters>8734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Procurement notice for a service contract</vt:lpstr>
    </vt:vector>
  </TitlesOfParts>
  <Company>European Commission</Company>
  <LinksUpToDate>false</LinksUpToDate>
  <CharactersWithSpaces>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subject/>
  <dc:creator>ramatje</dc:creator>
  <cp:keywords/>
  <cp:lastModifiedBy>Abdullahi Hussein</cp:lastModifiedBy>
  <cp:revision>4</cp:revision>
  <cp:lastPrinted>2014-01-30T15:32:00Z</cp:lastPrinted>
  <dcterms:created xsi:type="dcterms:W3CDTF">2022-01-17T07:20:00Z</dcterms:created>
  <dcterms:modified xsi:type="dcterms:W3CDTF">2022-01-18T10:11:00Z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ies>
</file>